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A69C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A69C7" w:rsidRDefault="00EA69C7"/>
        </w:tc>
      </w:tr>
      <w:tr w:rsidR="00EA69C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A69C7" w:rsidRDefault="00EA69C7"/>
        </w:tc>
      </w:tr>
      <w:tr w:rsidR="00EA69C7">
        <w:trPr>
          <w:trHeight w:hRule="exact" w:val="212"/>
        </w:trPr>
        <w:tc>
          <w:tcPr>
            <w:tcW w:w="1521" w:type="dxa"/>
          </w:tcPr>
          <w:p w:rsidR="00EA69C7" w:rsidRDefault="00EA69C7"/>
        </w:tc>
        <w:tc>
          <w:tcPr>
            <w:tcW w:w="1600" w:type="dxa"/>
          </w:tcPr>
          <w:p w:rsidR="00EA69C7" w:rsidRDefault="00EA69C7"/>
        </w:tc>
        <w:tc>
          <w:tcPr>
            <w:tcW w:w="7089" w:type="dxa"/>
          </w:tcPr>
          <w:p w:rsidR="00EA69C7" w:rsidRDefault="00EA69C7"/>
        </w:tc>
        <w:tc>
          <w:tcPr>
            <w:tcW w:w="426" w:type="dxa"/>
          </w:tcPr>
          <w:p w:rsidR="00EA69C7" w:rsidRDefault="00EA69C7"/>
        </w:tc>
      </w:tr>
      <w:tr w:rsidR="00EA69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t xml:space="preserve"> </w:t>
            </w:r>
          </w:p>
        </w:tc>
      </w:tr>
      <w:tr w:rsidR="00EA69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EA69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t xml:space="preserve"> </w:t>
            </w:r>
          </w:p>
        </w:tc>
      </w:tr>
      <w:tr w:rsidR="00EA69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A69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A69C7" w:rsidRPr="003D0F4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3D0F4D">
              <w:rPr>
                <w:lang w:val="ru-RU"/>
              </w:rPr>
              <w:t xml:space="preserve"> </w:t>
            </w:r>
          </w:p>
        </w:tc>
      </w:tr>
      <w:tr w:rsidR="00EA69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A69C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A6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6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EA6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EA69C7">
        <w:trPr>
          <w:trHeight w:hRule="exact" w:val="295"/>
        </w:trPr>
        <w:tc>
          <w:tcPr>
            <w:tcW w:w="1521" w:type="dxa"/>
          </w:tcPr>
          <w:p w:rsidR="00EA69C7" w:rsidRDefault="00EA69C7"/>
        </w:tc>
        <w:tc>
          <w:tcPr>
            <w:tcW w:w="1600" w:type="dxa"/>
          </w:tcPr>
          <w:p w:rsidR="00EA69C7" w:rsidRDefault="00EA69C7"/>
        </w:tc>
        <w:tc>
          <w:tcPr>
            <w:tcW w:w="7089" w:type="dxa"/>
          </w:tcPr>
          <w:p w:rsidR="00EA69C7" w:rsidRDefault="00EA69C7"/>
        </w:tc>
        <w:tc>
          <w:tcPr>
            <w:tcW w:w="426" w:type="dxa"/>
          </w:tcPr>
          <w:p w:rsidR="00EA69C7" w:rsidRDefault="00EA69C7"/>
        </w:tc>
      </w:tr>
      <w:tr w:rsidR="00EA69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Default="003D0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A69C7">
        <w:trPr>
          <w:trHeight w:hRule="exact" w:val="196"/>
        </w:trPr>
        <w:tc>
          <w:tcPr>
            <w:tcW w:w="1521" w:type="dxa"/>
          </w:tcPr>
          <w:p w:rsidR="00EA69C7" w:rsidRDefault="00EA69C7"/>
        </w:tc>
        <w:tc>
          <w:tcPr>
            <w:tcW w:w="1600" w:type="dxa"/>
          </w:tcPr>
          <w:p w:rsidR="00EA69C7" w:rsidRDefault="00EA69C7"/>
        </w:tc>
        <w:tc>
          <w:tcPr>
            <w:tcW w:w="7089" w:type="dxa"/>
          </w:tcPr>
          <w:p w:rsidR="00EA69C7" w:rsidRDefault="00EA69C7"/>
        </w:tc>
        <w:tc>
          <w:tcPr>
            <w:tcW w:w="426" w:type="dxa"/>
          </w:tcPr>
          <w:p w:rsidR="00EA69C7" w:rsidRDefault="00EA69C7"/>
        </w:tc>
      </w:tr>
      <w:tr w:rsidR="00EA69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9C7" w:rsidRPr="003D0F4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Разумовская Е. А., Князева Е. Г., Закирова Э. Р., Решетникова Т. В., Ростовцев К. В., Смородина Е. А., Шеина Е. Г.,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Денежное хозяйство предприятий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[Издательство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- 359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9C7" w:rsidRPr="003D0F4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Закирова Э. Р. Формирование финансовой политики и инвестиционной привлекательности агропромышленных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предприятий [Электронный ресурс</w:t>
            </w:r>
            <w:proofErr w:type="gram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Издательство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9C7" w:rsidRPr="003D0F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Вяткин В. Н.,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Хэмптон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Д. Финансовые решения в управлении бизнесом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/437077</w:t>
            </w:r>
          </w:p>
        </w:tc>
      </w:tr>
      <w:tr w:rsidR="00EA69C7" w:rsidRPr="003D0F4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Долганова Ю. С., Исакова Н. Ю., Истомина Н. А., Разумовская Е. А., Смородина Е. А.,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Шадурская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Финансы [Э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9C7" w:rsidRPr="003D0F4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Исакова Н. Ю., Смородина Е. А.,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Финансовая политика. [Электронный ресурс</w:t>
            </w:r>
            <w:proofErr w:type="gram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обучающихся в вузах по направлениям подготовки УГСН 38.00.00 "Экономика и управление". - Екатеринбург: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9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9C7" w:rsidRPr="003D0F4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Мысляева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 Распределение и неравенство в глобальной рыночной экономике. [Электронный ресурс</w:t>
            </w:r>
            <w:proofErr w:type="gram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ООО "Научно-издательский центр ИНФРА-М", 2018. - 166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/930913</w:t>
            </w:r>
          </w:p>
        </w:tc>
      </w:tr>
    </w:tbl>
    <w:p w:rsidR="00EA69C7" w:rsidRPr="003D0F4D" w:rsidRDefault="003D0F4D">
      <w:pPr>
        <w:rPr>
          <w:sz w:val="0"/>
          <w:szCs w:val="0"/>
          <w:lang w:val="ru-RU"/>
        </w:rPr>
      </w:pPr>
      <w:r w:rsidRPr="003D0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69C7" w:rsidRPr="003D0F4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Владимирова О. Н., Петрова А. Т., Астраханцева И. А., Мигунова М. И. Финансовая политика в сфере инноваций: проблемы формирования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реализации. [Электронный ресурс</w:t>
            </w:r>
            <w:proofErr w:type="gram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/973389</w:t>
            </w:r>
          </w:p>
        </w:tc>
      </w:tr>
      <w:tr w:rsidR="00EA69C7" w:rsidRPr="003D0F4D">
        <w:trPr>
          <w:trHeight w:hRule="exact" w:val="277"/>
        </w:trPr>
        <w:tc>
          <w:tcPr>
            <w:tcW w:w="10774" w:type="dxa"/>
          </w:tcPr>
          <w:p w:rsidR="00EA69C7" w:rsidRPr="003D0F4D" w:rsidRDefault="00EA69C7">
            <w:pPr>
              <w:rPr>
                <w:lang w:val="ru-RU"/>
              </w:rPr>
            </w:pPr>
          </w:p>
        </w:tc>
      </w:tr>
      <w:tr w:rsidR="00EA69C7" w:rsidRPr="003D0F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Pr="003D0F4D" w:rsidRDefault="003D0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D0F4D">
              <w:rPr>
                <w:lang w:val="ru-RU"/>
              </w:rPr>
              <w:t xml:space="preserve"> </w:t>
            </w:r>
          </w:p>
        </w:tc>
      </w:tr>
      <w:tr w:rsidR="00EA69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9C7">
        <w:trPr>
          <w:trHeight w:hRule="exact" w:val="277"/>
        </w:trPr>
        <w:tc>
          <w:tcPr>
            <w:tcW w:w="10774" w:type="dxa"/>
          </w:tcPr>
          <w:p w:rsidR="00EA69C7" w:rsidRDefault="00EA69C7"/>
        </w:tc>
      </w:tr>
      <w:tr w:rsidR="00EA69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D0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D0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D0F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0F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A69C7" w:rsidRPr="003D0F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D0F4D">
              <w:rPr>
                <w:lang w:val="ru-RU"/>
              </w:rPr>
              <w:t xml:space="preserve"> </w:t>
            </w:r>
          </w:p>
        </w:tc>
      </w:tr>
      <w:tr w:rsidR="00EA69C7" w:rsidRPr="003D0F4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A69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D0F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A69C7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A69C7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6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0F4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A69C7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69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реформе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3D0F4D">
              <w:rPr>
                <w:lang w:val="ru-RU"/>
              </w:rPr>
              <w:t xml:space="preserve"> </w:t>
            </w:r>
          </w:p>
          <w:p w:rsidR="00EA69C7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www.accountingreform.ru</w:t>
            </w:r>
            <w:r>
              <w:t xml:space="preserve"> </w:t>
            </w:r>
          </w:p>
        </w:tc>
      </w:tr>
      <w:tr w:rsidR="00EA69C7" w:rsidRPr="003D0F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менеджмент</w:t>
            </w:r>
            <w:r w:rsidRPr="003D0F4D">
              <w:rPr>
                <w:lang w:val="ru-RU"/>
              </w:rPr>
              <w:t xml:space="preserve"> </w:t>
            </w:r>
          </w:p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cfin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lang w:val="ru-RU"/>
              </w:rPr>
              <w:t xml:space="preserve"> </w:t>
            </w:r>
          </w:p>
        </w:tc>
      </w:tr>
      <w:tr w:rsidR="00EA69C7" w:rsidRPr="003D0F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«Финансовый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менеджмент»</w:t>
            </w:r>
            <w:r w:rsidRPr="003D0F4D">
              <w:rPr>
                <w:lang w:val="ru-RU"/>
              </w:rPr>
              <w:t xml:space="preserve"> </w:t>
            </w:r>
          </w:p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F4D">
              <w:rPr>
                <w:lang w:val="ru-RU"/>
              </w:rPr>
              <w:t xml:space="preserve"> </w:t>
            </w:r>
          </w:p>
        </w:tc>
      </w:tr>
      <w:tr w:rsidR="00EA69C7" w:rsidRPr="003D0F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«Финансовый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директор»</w:t>
            </w:r>
            <w:r w:rsidRPr="003D0F4D">
              <w:rPr>
                <w:lang w:val="ru-RU"/>
              </w:rPr>
              <w:t xml:space="preserve"> </w:t>
            </w:r>
          </w:p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lang w:val="ru-RU"/>
              </w:rPr>
              <w:t xml:space="preserve"> </w:t>
            </w:r>
          </w:p>
        </w:tc>
      </w:tr>
      <w:tr w:rsidR="00EA69C7" w:rsidRPr="003D0F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Публикации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экономике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финансам</w:t>
            </w:r>
            <w:r w:rsidRPr="003D0F4D">
              <w:rPr>
                <w:lang w:val="ru-RU"/>
              </w:rPr>
              <w:t xml:space="preserve"> </w:t>
            </w:r>
          </w:p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finansy</w:t>
            </w:r>
            <w:proofErr w:type="spellEnd"/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lang w:val="ru-RU"/>
              </w:rPr>
              <w:t xml:space="preserve"> </w:t>
            </w:r>
          </w:p>
        </w:tc>
      </w:tr>
      <w:tr w:rsidR="00EA69C7" w:rsidRPr="003D0F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Финансовые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российских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</w:t>
            </w:r>
            <w:r w:rsidRPr="003D0F4D">
              <w:rPr>
                <w:lang w:val="ru-RU"/>
              </w:rPr>
              <w:t xml:space="preserve"> </w:t>
            </w:r>
          </w:p>
          <w:p w:rsidR="00EA69C7" w:rsidRPr="003D0F4D" w:rsidRDefault="003D0F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quote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0F4D">
              <w:rPr>
                <w:lang w:val="ru-RU"/>
              </w:rPr>
              <w:t xml:space="preserve"> </w:t>
            </w:r>
          </w:p>
        </w:tc>
      </w:tr>
      <w:tr w:rsidR="00EA69C7" w:rsidRPr="003D0F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9C7" w:rsidRPr="003D0F4D" w:rsidRDefault="003D0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Смородина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3D0F4D">
              <w:rPr>
                <w:lang w:val="ru-RU"/>
              </w:rPr>
              <w:t xml:space="preserve"> </w:t>
            </w:r>
            <w:r w:rsidRPr="003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3D0F4D">
              <w:rPr>
                <w:lang w:val="ru-RU"/>
              </w:rPr>
              <w:t xml:space="preserve"> </w:t>
            </w:r>
          </w:p>
        </w:tc>
      </w:tr>
    </w:tbl>
    <w:p w:rsidR="00EA69C7" w:rsidRPr="003D0F4D" w:rsidRDefault="00EA69C7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>
      <w:pPr>
        <w:rPr>
          <w:lang w:val="ru-RU"/>
        </w:rPr>
      </w:pPr>
    </w:p>
    <w:p w:rsidR="003D0F4D" w:rsidRPr="003D0F4D" w:rsidRDefault="003D0F4D" w:rsidP="003D0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F4D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3D0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F4D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3D0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F4D">
        <w:rPr>
          <w:rFonts w:ascii="Times New Roman" w:hAnsi="Times New Roman" w:cs="Times New Roman"/>
          <w:b/>
          <w:sz w:val="24"/>
          <w:szCs w:val="24"/>
        </w:rPr>
        <w:t>работ</w:t>
      </w:r>
      <w:bookmarkStart w:id="0" w:name="_GoBack"/>
      <w:bookmarkEnd w:id="0"/>
      <w:proofErr w:type="spellEnd"/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Бизнес-план инвестиционного проекта: проблемы его формирования и использования в деятельности предприятия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Бюджетирование как метод управления финансовой деятельностью предприятия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Взаимосвязи потока денежных средств с прибылью, оборотным капиталом и дебиторской задолженностью (на примере</w:t>
      </w:r>
      <w:proofErr w:type="gramStart"/>
      <w:r w:rsidRPr="003D0F4D"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 w:rsidRPr="003D0F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Денежный капитал предприятия: политика управления и ее роль в укреплении финансового положения предприятия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Инвестиционная политика предприятия и ее роль в укреплении финансового положения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0F4D">
        <w:rPr>
          <w:rFonts w:ascii="Times New Roman" w:hAnsi="Times New Roman" w:cs="Times New Roman"/>
          <w:sz w:val="24"/>
          <w:szCs w:val="24"/>
          <w:lang w:val="ru-RU"/>
        </w:rPr>
        <w:t>Контроллинг</w:t>
      </w:r>
      <w:proofErr w:type="spellEnd"/>
      <w:r w:rsidRPr="003D0F4D">
        <w:rPr>
          <w:rFonts w:ascii="Times New Roman" w:hAnsi="Times New Roman" w:cs="Times New Roman"/>
          <w:sz w:val="24"/>
          <w:szCs w:val="24"/>
          <w:lang w:val="ru-RU"/>
        </w:rPr>
        <w:t xml:space="preserve"> как система управления финансовой деятельностью предприятия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Кредитная политика предприятия для достижения оптимальной структуры денежного потока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Определение стоимости предприятия и оценка бизнеса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Оптимизация налогообложения в системе финансового менеджмента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Особенности управления денежными потоками на предприятии (банке, страховой организации) (на примере)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инвестиционного проекта и денежных потоков (на примере...).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Оценка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эффективности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функционирования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компании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предприятия по управлению денежными потоками (на примере...).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предприятия по управлению оборотным капиталом и ее роль в укреплении финансового положения предприятия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предприятия по управлению оборотным капиталом: финансовый аспект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распределения прибыли предприятия с целью достижения оптимальной структуры денежного капитала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управления дебиторской задолженностью на предприятии с целью достижения оптимальной структуры денежного потока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управления доходами и расходами на предприятии с целью достижения оптимальной структуры денежного потока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управления портфелем ценных бумаг с целью достижения оптимальной структуры денежного потока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Проблемы оценки стоимости капитала и принятие финансовых решений на современном этапе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Проблемы повышения инвестиционной привлекательности предприятия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Проблемы повышения инвестиционной привлекательности предприятия с целью достижения оптимальной структуры потока денежных средств от инвестиционной деятельности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Проблемы реализации долгосрочной и краткосрочной финансовой политики организации в современных условиях</w:t>
      </w:r>
    </w:p>
    <w:p w:rsidR="003D0F4D" w:rsidRPr="003D0F4D" w:rsidRDefault="003D0F4D" w:rsidP="003D0F4D">
      <w:pPr>
        <w:numPr>
          <w:ilvl w:val="0"/>
          <w:numId w:val="1"/>
        </w:numPr>
        <w:tabs>
          <w:tab w:val="left" w:pos="741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 xml:space="preserve">Проблемы реализации задач внутреннего и внешнего анализа денежных потоков с использованием информационных технологий. 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Проблемы страхования предпринимательских рисков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Проблемы управления дебиторской задолженностью предприятия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Проблемы у</w:t>
      </w:r>
      <w:r w:rsidRPr="003D0F4D">
        <w:rPr>
          <w:rFonts w:ascii="Times New Roman" w:hAnsi="Times New Roman" w:cs="Times New Roman"/>
          <w:sz w:val="24"/>
          <w:szCs w:val="24"/>
          <w:lang w:val="ru-RU"/>
        </w:rPr>
        <w:t>правления предпринимательскими рисками хозяйствующего субъекта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Специфические особенности приемов и методов управления финансами в практике отечественных предприятий (на примере ...)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Стратегия формирования капитала компании: проблемы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Политика управления расходами (затратами) на производство и реализацию продукции на предприятии и ее влияние на основные финансовые результаты его деятельности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Управление предпринимательскими рисками хозяйствующего субъекта с целью достижения оптимальной структуры денежных потоков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Финансовая политика предприятия: проблемы реализации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Финансовая политика предприятия и ее влияние на структуру капитала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Финансовая политика управления расходами (затратами) предприятия с целью укрепления его финансового положения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Финансовая политика управления расходами (затратами) предприятия с целью достижения оптимальной структуры денежного потока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Финансовая стратегия интегрированных хозяйствующих субъектов: проблемы реализации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Финансовая стратегия интегрированных хозяйствующих субъектов и ее роль в управлении денежными потоками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D0F4D">
        <w:rPr>
          <w:rFonts w:ascii="Times New Roman" w:eastAsia="TimesNewRomanPSMT" w:hAnsi="Times New Roman" w:cs="Times New Roman"/>
          <w:sz w:val="24"/>
          <w:szCs w:val="24"/>
          <w:lang w:val="ru-RU"/>
        </w:rPr>
        <w:t>Финансовое планирование и прогнозирование в системе принятия управленческих решений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Финансовое планирование на предприятиях: проблемы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Финансовые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аспекты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антикризисного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управления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компанией</w:t>
      </w:r>
      <w:proofErr w:type="spellEnd"/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Финансовые аспекты управления оборотным капиталом предприятия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Финансовые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методы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предотвращения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банкротства</w:t>
      </w:r>
      <w:proofErr w:type="spellEnd"/>
      <w:r w:rsidRPr="003D0F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D0F4D">
        <w:rPr>
          <w:rFonts w:ascii="Times New Roman" w:eastAsia="TimesNewRomanPSMT" w:hAnsi="Times New Roman" w:cs="Times New Roman"/>
          <w:sz w:val="24"/>
          <w:szCs w:val="24"/>
        </w:rPr>
        <w:t>предприятия</w:t>
      </w:r>
      <w:proofErr w:type="spellEnd"/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Финансовые методы управления рентабельностью и ликвидностью предприятия: проблемы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>Финансовые причины банкротства Российских предприятий и пути их решения</w:t>
      </w:r>
    </w:p>
    <w:p w:rsidR="003D0F4D" w:rsidRPr="003D0F4D" w:rsidRDefault="003D0F4D" w:rsidP="003D0F4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F4D">
        <w:rPr>
          <w:rFonts w:ascii="Times New Roman" w:hAnsi="Times New Roman" w:cs="Times New Roman"/>
          <w:sz w:val="24"/>
          <w:szCs w:val="24"/>
          <w:lang w:val="ru-RU"/>
        </w:rPr>
        <w:t xml:space="preserve">Налоговая политика </w:t>
      </w:r>
      <w:proofErr w:type="spellStart"/>
      <w:r w:rsidRPr="003D0F4D">
        <w:rPr>
          <w:rFonts w:ascii="Times New Roman" w:hAnsi="Times New Roman" w:cs="Times New Roman"/>
          <w:sz w:val="24"/>
          <w:szCs w:val="24"/>
          <w:lang w:val="ru-RU"/>
        </w:rPr>
        <w:t>предприятя</w:t>
      </w:r>
      <w:proofErr w:type="spellEnd"/>
      <w:r w:rsidRPr="003D0F4D">
        <w:rPr>
          <w:rFonts w:ascii="Times New Roman" w:hAnsi="Times New Roman" w:cs="Times New Roman"/>
          <w:sz w:val="24"/>
          <w:szCs w:val="24"/>
          <w:lang w:val="ru-RU"/>
        </w:rPr>
        <w:t>: проблемы реализации и пути их решения</w:t>
      </w:r>
    </w:p>
    <w:p w:rsidR="003D0F4D" w:rsidRPr="003D0F4D" w:rsidRDefault="003D0F4D">
      <w:pPr>
        <w:rPr>
          <w:lang w:val="ru-RU"/>
        </w:rPr>
      </w:pPr>
    </w:p>
    <w:sectPr w:rsidR="003D0F4D" w:rsidRPr="003D0F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0F4D"/>
    <w:rsid w:val="00D31453"/>
    <w:rsid w:val="00E209E2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34BC"/>
  <w15:docId w15:val="{2D4571DB-284D-4C7B-9363-4A27BBF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6852</Characters>
  <Application>Microsoft Office Word</Application>
  <DocSecurity>0</DocSecurity>
  <Lines>57</Lines>
  <Paragraphs>16</Paragraphs>
  <ScaleCrop>false</ScaleCrop>
  <Company>УрГЭУ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2021-2022_38_04_08_М-ФРиИ-21_plx_Финансовая политика</dc:title>
  <dc:creator>FastReport.NET</dc:creator>
  <cp:lastModifiedBy>Курбатова Валерия Платоновна</cp:lastModifiedBy>
  <cp:revision>2</cp:revision>
  <dcterms:created xsi:type="dcterms:W3CDTF">2021-08-04T09:30:00Z</dcterms:created>
  <dcterms:modified xsi:type="dcterms:W3CDTF">2021-08-04T09:30:00Z</dcterms:modified>
</cp:coreProperties>
</file>