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16C3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16C3E" w:rsidRDefault="00216C3E"/>
        </w:tc>
      </w:tr>
      <w:tr w:rsidR="00216C3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16C3E" w:rsidRDefault="00216C3E"/>
        </w:tc>
      </w:tr>
      <w:tr w:rsidR="00216C3E">
        <w:trPr>
          <w:trHeight w:hRule="exact" w:val="212"/>
        </w:trPr>
        <w:tc>
          <w:tcPr>
            <w:tcW w:w="1521" w:type="dxa"/>
          </w:tcPr>
          <w:p w:rsidR="00216C3E" w:rsidRDefault="00216C3E"/>
        </w:tc>
        <w:tc>
          <w:tcPr>
            <w:tcW w:w="1600" w:type="dxa"/>
          </w:tcPr>
          <w:p w:rsidR="00216C3E" w:rsidRDefault="00216C3E"/>
        </w:tc>
        <w:tc>
          <w:tcPr>
            <w:tcW w:w="7089" w:type="dxa"/>
          </w:tcPr>
          <w:p w:rsidR="00216C3E" w:rsidRDefault="00216C3E"/>
        </w:tc>
        <w:tc>
          <w:tcPr>
            <w:tcW w:w="426" w:type="dxa"/>
          </w:tcPr>
          <w:p w:rsidR="00216C3E" w:rsidRDefault="00216C3E"/>
        </w:tc>
      </w:tr>
      <w:tr w:rsidR="00216C3E" w:rsidRPr="00923F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C3E" w:rsidRPr="00923F82" w:rsidRDefault="00923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рассмотрения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арбитражными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судами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споров</w:t>
            </w:r>
            <w:r w:rsidRPr="00923F82">
              <w:rPr>
                <w:lang w:val="ru-RU"/>
              </w:rPr>
              <w:t xml:space="preserve"> </w:t>
            </w:r>
          </w:p>
        </w:tc>
      </w:tr>
      <w:tr w:rsidR="00216C3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216C3E" w:rsidRPr="00923F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C3E" w:rsidRPr="00923F82" w:rsidRDefault="00923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923F82">
              <w:rPr>
                <w:lang w:val="ru-RU"/>
              </w:rPr>
              <w:t xml:space="preserve"> </w:t>
            </w:r>
          </w:p>
        </w:tc>
      </w:tr>
      <w:tr w:rsidR="00216C3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16C3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216C3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216C3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16C3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16C3E" w:rsidRPr="00923F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Pr="00923F82" w:rsidRDefault="00923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экономического спора и его основные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и разновидности</w:t>
            </w:r>
          </w:p>
        </w:tc>
      </w:tr>
      <w:tr w:rsidR="00216C3E" w:rsidRPr="00923F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Pr="00923F82" w:rsidRDefault="00923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делам, возникающим из административных и иных публичных правоотношений</w:t>
            </w:r>
          </w:p>
        </w:tc>
      </w:tr>
      <w:tr w:rsidR="00216C3E" w:rsidRPr="00923F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Pr="00923F82" w:rsidRDefault="00923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Упрощенное производство в арбитражном процессе</w:t>
            </w:r>
          </w:p>
        </w:tc>
      </w:tr>
      <w:tr w:rsidR="00216C3E" w:rsidRPr="00923F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Pr="00923F82" w:rsidRDefault="00923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Приказное производство в арбитражном процессе</w:t>
            </w:r>
          </w:p>
        </w:tc>
      </w:tr>
      <w:tr w:rsidR="00216C3E" w:rsidRPr="00923F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Pr="00923F82" w:rsidRDefault="00923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 об установлении фактов, имеющих юридическое значение</w:t>
            </w:r>
          </w:p>
        </w:tc>
      </w:tr>
      <w:tr w:rsidR="00216C3E" w:rsidRPr="00923F8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Pr="00923F82" w:rsidRDefault="00923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присуждении компенсации за нарушение права на судопроизводство в разумный срок и права на исполнение судебного акта в разумный срок</w:t>
            </w:r>
          </w:p>
        </w:tc>
      </w:tr>
      <w:tr w:rsidR="00216C3E" w:rsidRPr="00923F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Pr="00923F82" w:rsidRDefault="00923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дел о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несостоятельности (банкротстве)</w:t>
            </w:r>
          </w:p>
        </w:tc>
      </w:tr>
      <w:tr w:rsidR="00216C3E" w:rsidRPr="00923F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Pr="00923F82" w:rsidRDefault="00923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по корпоративным спорам</w:t>
            </w:r>
          </w:p>
        </w:tc>
      </w:tr>
      <w:tr w:rsidR="00216C3E" w:rsidRPr="00923F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Pr="00923F82" w:rsidRDefault="00923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защите прав и законных интересов группы лиц</w:t>
            </w:r>
          </w:p>
        </w:tc>
      </w:tr>
      <w:tr w:rsidR="00216C3E" w:rsidRPr="00923F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Pr="00923F82" w:rsidRDefault="00923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рассмотрения арбитражными судами экономических споров при наличии иностранного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</w:t>
            </w:r>
          </w:p>
        </w:tc>
      </w:tr>
      <w:tr w:rsidR="00216C3E" w:rsidRPr="00923F82">
        <w:trPr>
          <w:trHeight w:hRule="exact" w:val="184"/>
        </w:trPr>
        <w:tc>
          <w:tcPr>
            <w:tcW w:w="1521" w:type="dxa"/>
          </w:tcPr>
          <w:p w:rsidR="00216C3E" w:rsidRPr="00923F82" w:rsidRDefault="00216C3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16C3E" w:rsidRPr="00923F82" w:rsidRDefault="00216C3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16C3E" w:rsidRPr="00923F82" w:rsidRDefault="00216C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C3E" w:rsidRPr="00923F82" w:rsidRDefault="00216C3E">
            <w:pPr>
              <w:rPr>
                <w:lang w:val="ru-RU"/>
              </w:rPr>
            </w:pPr>
          </w:p>
        </w:tc>
      </w:tr>
      <w:tr w:rsidR="00216C3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Default="00923F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16C3E">
        <w:trPr>
          <w:trHeight w:hRule="exact" w:val="196"/>
        </w:trPr>
        <w:tc>
          <w:tcPr>
            <w:tcW w:w="1521" w:type="dxa"/>
          </w:tcPr>
          <w:p w:rsidR="00216C3E" w:rsidRDefault="00216C3E"/>
        </w:tc>
        <w:tc>
          <w:tcPr>
            <w:tcW w:w="1600" w:type="dxa"/>
          </w:tcPr>
          <w:p w:rsidR="00216C3E" w:rsidRDefault="00216C3E"/>
        </w:tc>
        <w:tc>
          <w:tcPr>
            <w:tcW w:w="7089" w:type="dxa"/>
          </w:tcPr>
          <w:p w:rsidR="00216C3E" w:rsidRDefault="00216C3E"/>
        </w:tc>
        <w:tc>
          <w:tcPr>
            <w:tcW w:w="426" w:type="dxa"/>
          </w:tcPr>
          <w:p w:rsidR="00216C3E" w:rsidRDefault="00216C3E"/>
        </w:tc>
      </w:tr>
      <w:tr w:rsidR="00216C3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6C3E" w:rsidRPr="00923F8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6C3E" w:rsidRPr="00923F82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Решетникова И.В., Куликова М. А. Арбитражный процесс. [Электронный ресурс]</w:t>
            </w:r>
            <w:proofErr w:type="gram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"Юридическое издательство Норма", 2019.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/996219</w:t>
            </w:r>
          </w:p>
        </w:tc>
      </w:tr>
      <w:tr w:rsidR="00216C3E" w:rsidRPr="00923F82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6C3E" w:rsidRPr="00923F82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Афанасьев С. Ф., </w:t>
            </w:r>
            <w:proofErr w:type="spell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Захарьящева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Абушенко Д. Б., Борисова В. Ф., Васильчикова Н. А., Воронцова И. В., Григорьева Т. А., Ермаков А. Н., </w:t>
            </w:r>
            <w:proofErr w:type="spell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Крипакова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Р., Михайлов С. М., Моисеев С. В., Потапенко Е. Г., Савель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ева Т. А., Семикина С. А., Соловых С. Ж., </w:t>
            </w:r>
            <w:proofErr w:type="spell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Стрельцова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Ткаченко Е. В., Туманов Д. А., Фомичева Р. В., Щербакова Л. Г.</w:t>
            </w:r>
            <w:proofErr w:type="gram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Юдин А. В. Арбитражное процессуальное право в 2 ч. Часть 1. [Электронный ресурс]</w:t>
            </w:r>
            <w:proofErr w:type="gram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- 399 – Р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/453935</w:t>
            </w:r>
          </w:p>
        </w:tc>
      </w:tr>
      <w:tr w:rsidR="00216C3E" w:rsidRPr="00923F82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6C3E" w:rsidRPr="00923F82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Афанасьев С. Ф., </w:t>
            </w:r>
            <w:proofErr w:type="spell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Захарьящева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Абушенко Д. Б., Борисова В. Ф., Васильчикова Н. А., Воронцова И. В., Григорьева Т. А., Ермаков А. Н., </w:t>
            </w:r>
            <w:proofErr w:type="spell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Крипакова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Р., Михайлов С. М., Моисеев С. В., Потапенко Е. Г.,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Савельева Т. А., Семикина С. А., Соловых С. Ж., </w:t>
            </w:r>
            <w:proofErr w:type="spell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Стрельцова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Ткаченко Е. В., Туманов Д. А., Фомичева Р. В., Щербакова Л. Г.</w:t>
            </w:r>
            <w:proofErr w:type="gram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Юдин А. В. Арбитражное процессуальное право в 2 ч. Часть 2. [Электронный ресурс]</w:t>
            </w:r>
            <w:proofErr w:type="gram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/455039</w:t>
            </w:r>
          </w:p>
        </w:tc>
      </w:tr>
    </w:tbl>
    <w:p w:rsidR="00216C3E" w:rsidRPr="00923F82" w:rsidRDefault="00923F82">
      <w:pPr>
        <w:rPr>
          <w:sz w:val="0"/>
          <w:szCs w:val="0"/>
          <w:lang w:val="ru-RU"/>
        </w:rPr>
      </w:pPr>
      <w:r w:rsidRPr="00923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16C3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6C3E" w:rsidRPr="00923F8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C3E" w:rsidRPr="00923F82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Смолина О. С. Арбитражный процесс: доказывание и доказательства по делам об оспаривании результатов налоговых проверок. [Электронный ресурс]</w:t>
            </w:r>
            <w:proofErr w:type="gram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онография. - Москва: Норма, 20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/478766</w:t>
            </w:r>
          </w:p>
        </w:tc>
      </w:tr>
      <w:tr w:rsidR="00216C3E" w:rsidRPr="00923F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C3E" w:rsidRPr="00923F82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Алтухов А.В., Беляева О.А. </w:t>
            </w:r>
            <w:proofErr w:type="gram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 практики рассмотрения</w:t>
            </w:r>
            <w:proofErr w:type="gram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экономических споров (судебно-арбитражной практики). </w:t>
            </w:r>
            <w:proofErr w:type="spell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22. [Электронный ресурс]</w:t>
            </w:r>
            <w:proofErr w:type="gram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ООО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/982627</w:t>
            </w:r>
          </w:p>
        </w:tc>
      </w:tr>
      <w:tr w:rsidR="00216C3E" w:rsidRPr="00923F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C3E" w:rsidRPr="00923F82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Клейн Н. И. Встречный иск в суде и арбитраже. [Электронный ресурс]</w:t>
            </w:r>
            <w:proofErr w:type="gram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аучное издание. - Москва: Статут, 2017.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proofErr w:type="spellEnd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/1014790</w:t>
            </w:r>
          </w:p>
        </w:tc>
      </w:tr>
      <w:tr w:rsidR="00216C3E" w:rsidRPr="00923F82">
        <w:trPr>
          <w:trHeight w:hRule="exact" w:val="277"/>
        </w:trPr>
        <w:tc>
          <w:tcPr>
            <w:tcW w:w="10774" w:type="dxa"/>
          </w:tcPr>
          <w:p w:rsidR="00216C3E" w:rsidRPr="00923F82" w:rsidRDefault="00216C3E">
            <w:pPr>
              <w:rPr>
                <w:lang w:val="ru-RU"/>
              </w:rPr>
            </w:pPr>
          </w:p>
        </w:tc>
      </w:tr>
      <w:tr w:rsidR="00216C3E" w:rsidRPr="00923F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Pr="00923F82" w:rsidRDefault="00923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23F82">
              <w:rPr>
                <w:lang w:val="ru-RU"/>
              </w:rPr>
              <w:t xml:space="preserve"> </w:t>
            </w:r>
          </w:p>
        </w:tc>
      </w:tr>
      <w:tr w:rsidR="00216C3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6C3E">
        <w:trPr>
          <w:trHeight w:hRule="exact" w:val="277"/>
        </w:trPr>
        <w:tc>
          <w:tcPr>
            <w:tcW w:w="10774" w:type="dxa"/>
          </w:tcPr>
          <w:p w:rsidR="00216C3E" w:rsidRDefault="00216C3E"/>
        </w:tc>
      </w:tr>
      <w:tr w:rsidR="00216C3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23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23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23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3F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16C3E" w:rsidRPr="00923F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C3E" w:rsidRPr="00923F82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23F82">
              <w:rPr>
                <w:lang w:val="ru-RU"/>
              </w:rPr>
              <w:t xml:space="preserve"> </w:t>
            </w:r>
          </w:p>
        </w:tc>
      </w:tr>
      <w:tr w:rsidR="00216C3E" w:rsidRPr="00923F8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C3E" w:rsidRPr="00923F82" w:rsidRDefault="00923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23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216C3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23F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16C3E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16C3E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16C3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C3E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23F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16C3E" w:rsidRDefault="00923F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16C3E" w:rsidRPr="00923F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C3E" w:rsidRPr="00923F82" w:rsidRDefault="00923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Троценко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923F82">
              <w:rPr>
                <w:lang w:val="ru-RU"/>
              </w:rPr>
              <w:t xml:space="preserve"> </w:t>
            </w:r>
            <w:r w:rsidRPr="00923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923F82">
              <w:rPr>
                <w:lang w:val="ru-RU"/>
              </w:rPr>
              <w:t xml:space="preserve"> </w:t>
            </w:r>
          </w:p>
        </w:tc>
      </w:tr>
    </w:tbl>
    <w:p w:rsidR="00216C3E" w:rsidRDefault="00216C3E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Pr="00923F82" w:rsidRDefault="00923F82" w:rsidP="0092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B0F0"/>
          <w:sz w:val="24"/>
          <w:szCs w:val="24"/>
          <w:lang w:val="ru-RU" w:eastAsia="ru-RU"/>
        </w:rPr>
      </w:pPr>
      <w:r w:rsidRPr="00923F82">
        <w:rPr>
          <w:rFonts w:ascii="Times New Roman" w:eastAsia="Times New Roman" w:hAnsi="Times New Roman" w:cs="Times New Roman"/>
          <w:b/>
          <w:snapToGrid w:val="0"/>
          <w:color w:val="00B0F0"/>
          <w:sz w:val="24"/>
          <w:szCs w:val="24"/>
          <w:lang w:val="ru-RU" w:eastAsia="ru-RU"/>
        </w:rPr>
        <w:lastRenderedPageBreak/>
        <w:t>7.3.3. Перечень курсовых работ по дисциплине «</w:t>
      </w:r>
      <w:r w:rsidRPr="00923F82">
        <w:rPr>
          <w:rFonts w:ascii="Times New Roman" w:eastAsia="Calibri" w:hAnsi="Times New Roman" w:cs="Times New Roman"/>
          <w:b/>
          <w:color w:val="00B0F0"/>
          <w:sz w:val="24"/>
          <w:szCs w:val="24"/>
          <w:lang w:val="ru-RU" w:eastAsia="ru-RU"/>
        </w:rPr>
        <w:t>Особенности рассмотрения арбитражными судами отдельных категорий экономических споров</w:t>
      </w:r>
      <w:r w:rsidRPr="00923F82">
        <w:rPr>
          <w:rFonts w:ascii="Times New Roman" w:eastAsia="Times New Roman" w:hAnsi="Times New Roman" w:cs="Times New Roman"/>
          <w:b/>
          <w:snapToGrid w:val="0"/>
          <w:color w:val="00B0F0"/>
          <w:sz w:val="24"/>
          <w:szCs w:val="24"/>
          <w:lang w:val="ru-RU" w:eastAsia="ru-RU"/>
        </w:rPr>
        <w:t>»</w:t>
      </w:r>
    </w:p>
    <w:p w:rsidR="00923F82" w:rsidRPr="00923F82" w:rsidRDefault="00923F82" w:rsidP="00923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ru-RU"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923F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  <w:t>Особенности возбуждения дел в арбитражном суде по отдельным видам экономических споров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923F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  <w:t>Особенности процессуального  порядка разрешения дел в арбитражном суде первой инстанции по отдельным видам экономических споров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923F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Процессуальные особенности апелляционного производства в арбитражном процессе по отдельным видам экономических споров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23F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Особенности кассационной проверки решений, определений и постановлений в арбитражном процессе по отдельным видам экономических споров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 Процессуальные особенности разрешения арбитражным судом дел возникающих из договоров поставки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 Процессуальные особенности разрешения арбитражным судом дел возникающих из договоров перевозки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 Процессуальные особенности разрешения арбитражным судом дел возникающих из договоров строительного подряда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 Процессуальные особенности разрешения арбитражным судом дел возникающих из споров и праве собственности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 Производство по делам о несостоятельности (банкротстве) в арбитражном суде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  Производство по корпоративным спорам в арбитражном суде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</w:t>
            </w:r>
            <w:r w:rsidRPr="00923F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Производство по делам о защите интересов группы лиц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</w:t>
            </w:r>
            <w:r w:rsidRPr="00923F8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Дела об установлении фактов, имеющих юридическое значение в арбитражном процессе по отдельным видам экономических споров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 Дела о признании и исполнении решений иностранных судов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 Дела о выдаче исполнительного листа на принудительное исполнение решений третейских судов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 Особенности рассмотрения в арбитражных судах споров, связанных с созданием, реорганизацией и ликвидацией юридического лица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16 Особенности рассмотрения в арбитражных судах споров, </w:t>
            </w:r>
            <w:bookmarkStart w:id="0" w:name="dst1176"/>
            <w:bookmarkEnd w:id="0"/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связанных с принадлежностью акций, долей в уставном (складочном) капитале хозяйственных обществ и товариществ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17. Особенности рассмотрения в арбитражных судах споров, по искам учредителей, участников, членов юридического лица (далее - участники юридического лица) о возмещении убытков, причиненных юридическому лицу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 Особенности рассмотрения в арбитражных судах споров, связанных с назначением или избранием, прекращением, приостановлением полномочий и ответственностью лиц, входящих или входивших в состав органов управления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 Особенности рассмотрения в арбитражных судах споров,  связанных с эмиссией ценных бумаг</w:t>
            </w:r>
          </w:p>
        </w:tc>
      </w:tr>
      <w:tr w:rsidR="00923F82" w:rsidRPr="00923F82" w:rsidTr="00923F8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82" w:rsidRPr="00923F82" w:rsidRDefault="00923F82" w:rsidP="00923F8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23F8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 Особенности рассмотрения в арбитражных судах споров, вытекающих из деятельности держателей реестра владельцев ценных бумаг</w:t>
            </w:r>
          </w:p>
        </w:tc>
      </w:tr>
    </w:tbl>
    <w:p w:rsidR="00923F82" w:rsidRDefault="00923F82">
      <w:pPr>
        <w:rPr>
          <w:lang w:val="ru-RU"/>
        </w:rPr>
      </w:pPr>
      <w:bookmarkStart w:id="1" w:name="_GoBack"/>
      <w:bookmarkEnd w:id="1"/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Default="00923F82">
      <w:pPr>
        <w:rPr>
          <w:lang w:val="ru-RU"/>
        </w:rPr>
      </w:pPr>
    </w:p>
    <w:p w:rsidR="00923F82" w:rsidRPr="00923F82" w:rsidRDefault="00923F82">
      <w:pPr>
        <w:rPr>
          <w:lang w:val="ru-RU"/>
        </w:rPr>
      </w:pPr>
    </w:p>
    <w:sectPr w:rsidR="00923F82" w:rsidRPr="00923F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6C3E"/>
    <w:rsid w:val="00923F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2021-2022_40_03_01-ЮЭД-2021_очное_plx_Особенности рассмотрения арбитражными судами отдельных категорий экономических споров</dc:title>
  <dc:creator>FastReport.NET</dc:creator>
  <cp:lastModifiedBy>Owner</cp:lastModifiedBy>
  <cp:revision>2</cp:revision>
  <dcterms:created xsi:type="dcterms:W3CDTF">2021-09-15T17:33:00Z</dcterms:created>
  <dcterms:modified xsi:type="dcterms:W3CDTF">2021-09-15T17:33:00Z</dcterms:modified>
</cp:coreProperties>
</file>