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Антимонопольное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закупок</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Внешнеэкономическая</w:t>
            </w:r>
            <w:r>
              <w:rPr/>
              <w:t xml:space="preserve"> </w:t>
            </w:r>
            <w:r>
              <w:rPr>
                <w:rFonts w:ascii="Times New Roman" w:hAnsi="Times New Roman" w:cs="Times New Roman"/>
                <w:color w:val="#000000"/>
                <w:sz w:val="24"/>
                <w:szCs w:val="24"/>
              </w:rPr>
              <w:t>деятельность</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конкурентного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законодательства Российской Федерации, регулирующего конкурентные отношения.  Сущность антимонопольного регулирования и его направления</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Выявление и пресечение монополистической деятельности хозяйствующих субъектов.  Недобросовестная конкуренция</w:t>
            </w:r>
          </w:p>
        </w:tc>
      </w:tr>
      <w:tr>
        <w:trPr>
          <w:trHeight w:hRule="exact" w:val="1125.873"/>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Выявление и пресечение ограничивающих конкуренцию актов, действий, соглашений и согласованных действий органов исполнительной и государственной власти, органов местного самоуправления. Выявление признаков ценового сговора. Антимонопольное расследование ценового сговора.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Антимонопольные требования к торгам, запросу котировок, запросу предложений</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законодательства Российской Федерации, регулирующего деятельность в сфере закупок</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Планирование закупок, экономические основы формирования начальной максимальной цена контракта.</w:t>
            </w:r>
          </w:p>
        </w:tc>
      </w:tr>
      <w:tr>
        <w:trPr>
          <w:trHeight w:hRule="exact" w:val="1666.833"/>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 для осуществления закупок для государственных и муниципальных нужд. Особенности составления закупочной документации. Размещение в единой информационной системе соответствующих сведений и документов в рамках закупочной деятельности. Осуществление мониторинга поставщиков (подрядчиков, исполнителей) и заказчиков в сфере закупок.</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Заключение, исполнение и расторжение контракта в сфере закупок</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в сфере закупок</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Башлаков-Николаев И. В., Гаврилов Д. А., Кинев А. Ю., Максимов С. В., Пузыревский С. А., Тенишев А. П., Максимов С. В., Пузыревский С. А. Ответственность за нарушения антимонопольного законодательства: проблемы теории и практики:монография. - Москва: Норма: ИНФРА-М, 2019. - 144 с.</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Пузыревский С. А., Гаврилов Д. А., Серегин Д. И. Конкурентное право. [Электронный ресурс]:учебник. - Москва: Норма: ИНФРА-М, 2019. - 416 – Режим доступа: https://znanium.com/catalog/product/1020432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Шишкин М. В. Антимонопольное регулирование. [Электронный ресурс]:Учебник и практикум для вузов. - Москва: Юрайт, 2020. - 143 – Режим доступа: https://urait.ru/bcode/451368</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Марковская Е. И., Луссе А. В., Медведь А. А., Привалов Н. Г., Рагимова Н. С., Радушинский Д. А., Троицкая И. В., Холодкова В. В. GR. Взаимодействие бизнеса и органов власти. [Электронный ресурс]:Учебник и практикум для вузов. - Москва: Юрайт, 2020. - 367 – Режим доступа: https://urait.ru/bcode/449255</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Казанцев Д. А. Конкурентные закупки. Методология и нормативное регулирование. [Электронный ресурс]:Монография. - Москва: ООО "Научно-издательский центр ИНФРА-М", 2020. - 324 – Режим доступа: https://znanium.com/catalog/product/1068790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Белицкая А. В., Белых В. С., Беляева О. А., Болобонова М. О., Вайпан В. А., Герасимов О. А., Городов О. А., Егорова М. А., Карелина С. А., Касымов Р. Ш. Правовое регулирование экономических отношений в современных условиях развития цифровой экономики.:монография. - Москва: Юстицинформ, 2019. - 370</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9"/>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Анисимова</w:t>
            </w:r>
            <w:r>
              <w:rPr/>
              <w:t xml:space="preserve"> </w:t>
            </w:r>
            <w:r>
              <w:rPr>
                <w:rFonts w:ascii="Times New Roman" w:hAnsi="Times New Roman" w:cs="Times New Roman"/>
                <w:color w:val="#000000"/>
                <w:sz w:val="24"/>
                <w:szCs w:val="24"/>
              </w:rPr>
              <w:t>М.А.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2021-2022_38_03_01-ВЭД-2021_очное_plx_Антимонопольное регулирование и организация закупок</dc:title>
  <dc:creator>FastReport.NET</dc:creator>
</cp:coreProperties>
</file>