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цели и задачи государственного регулирования национальной экономики и хозяйственной деятельности организаций различных форм собственности.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необходимость государственного регулирования национальной экономики на макро-и микроуровнях.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промышленная политика как фактор экономического роста национальной экономики и  успешного развития хозяйствующих субъектов.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денежно-кредитное регулирование и деятельность организаций.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налоговое регулирование и деятельность организаций.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государственного регулирования ценообразования на определенные группы товаров и услуг.</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аудиторской деятельности и его влияние на деятельность организаций.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Алексейчева Е. Ю., Магомедов М. Д., Костин И. Б. Экономика организации (предприятия). [Электронный ресурс]:учебник для студентов вузов, обучающихся по направлениям подготовки "Экономика" и "Менеджмент" (квалификация "бакалавр"). - Москва: Дашков и К°, 2018. - 292 – Режим доступа: https://znanium.com/catalog/product/415188</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Васильев В. П. Государственное регулирование экономики. [Электронный ресурс]:Учебник и практикум для вузов. - Москва: Юрайт, 2020. - 178 – Режим доступа: https://urait.ru/bcode/448296</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Косов М.Е., Сигарев А.В. Государство и бизнес: основы взаимодействия. [Электронный ресурс]:Учебник. - Москва: ООО "Научно-издательский центр ИНФРА-М", 2021. - 295 – Режим доступа: https://znanium.com/catalog/product/1138908</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Ручкина Г. Ф., Андреев С. А., Горохова С. С., Гуков А. С., Ильин А. Ю., Копина А. А., Ленева И. Г., Николюкин С. В., Попова А. В., Попова О. В., Соколова Э. Д., Фатхутдинова А. М., Царева О. Е. Правовое регулирование экономической деятельности. [Электронный ресурс]:Учебник и практикум Для академического бакалавриата. - Москва: Юрайт, 2019. - 315 – Режим доступа: https://urait.ru/bcode/434328</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Братановский С. Н., Зарубин А. В. Государственное управление промышленным комплексом в Российской Федерации. [Электронный ресурс]:монография. - Саратов: [б. и.], 2011. - 224 – Режим доступа: https://znanium.com/catalog/product/418434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Сыров А. Н. Практические вопросы муниципального управления экономикой городского поселения в России. [Электронный ресурс]:монография. - Москва: РИОР: ИНФРА-М, 2019. - 207. – Режим доступа: https://znanium.com/catalog/product/1003263</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Гиниятуллин</w:t>
            </w:r>
            <w:r>
              <w:rPr/>
              <w:t xml:space="preserve"> </w:t>
            </w:r>
            <w:r>
              <w:rPr>
                <w:rFonts w:ascii="Times New Roman" w:hAnsi="Times New Roman" w:cs="Times New Roman"/>
                <w:color w:val="#000000"/>
                <w:sz w:val="24"/>
                <w:szCs w:val="24"/>
              </w:rPr>
              <w:t>Родион</w:t>
            </w:r>
            <w:r>
              <w:rPr/>
              <w:t xml:space="preserve"> </w:t>
            </w:r>
            <w:r>
              <w:rPr>
                <w:rFonts w:ascii="Times New Roman" w:hAnsi="Times New Roman" w:cs="Times New Roman"/>
                <w:color w:val="#000000"/>
                <w:sz w:val="24"/>
                <w:szCs w:val="24"/>
              </w:rPr>
              <w:t>Нуриманович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2021-2022_38_03_01-ЭПиО-2021_очное_plx_Государственное регулирование и деятельность организации</dc:title>
  <dc:creator>FastReport.NET</dc:creator>
</cp:coreProperties>
</file>