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Учетно-аналитические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финансов,</w:t>
            </w:r>
            <w:r>
              <w:rPr/>
              <w:t xml:space="preserve"> </w:t>
            </w:r>
            <w:r>
              <w:rPr>
                <w:rFonts w:ascii="Times New Roman" w:hAnsi="Times New Roman" w:cs="Times New Roman"/>
                <w:color w:val="#000000"/>
                <w:sz w:val="24"/>
                <w:szCs w:val="24"/>
              </w:rPr>
              <w:t>денежного</w:t>
            </w:r>
            <w:r>
              <w:rPr/>
              <w:t xml:space="preserve"> </w:t>
            </w:r>
            <w:r>
              <w:rPr>
                <w:rFonts w:ascii="Times New Roman" w:hAnsi="Times New Roman" w:cs="Times New Roman"/>
                <w:color w:val="#000000"/>
                <w:sz w:val="24"/>
                <w:szCs w:val="24"/>
              </w:rPr>
              <w:t>обращения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кредита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Налоговая система РФ</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федеральных налогов РФ с учетом отраслевых особенностей хозяйствующих субъектов</w:t>
            </w:r>
          </w:p>
        </w:tc>
      </w:tr>
      <w:tr>
        <w:trPr>
          <w:trHeight w:hRule="exact" w:val="585.0602"/>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региональных налогов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местных налогов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порядок применения специальных налоговых режимов в РФ с учетом отраслевых особенностей хозяйствующих субъектов</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исчисления и уплаты страховых взносов во внебюджетные фонды с учетом отраслевых особенностей хозяйствующих субъектов</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Лыкова Л. Н. Налоги и налогообложение. [Электронный ресурс]:Учебник и практикум для вузов. - Москва: Юрайт, 2020. - 376 – Режим доступа: https://urait.ru/bcode/450593</w:t>
            </w:r>
          </w:p>
        </w:tc>
      </w:tr>
      <w:tr>
        <w:trPr>
          <w:trHeight w:hRule="exact" w:val="1366.954"/>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Маршавина Л. Я., Агапова А. А., Белецкий М. В., Глубокова Н. Ю., Голубцова Е. В., Дадашев А. З., Князева А. В., Колчин С. П., Омшанова Э. А., Пономарева Н. В., Семенова Г. Н., Стручкова Е. С., Сычева Е. И., Топчи Ю. А., Чалова А. Ю. Налоги и налогообложение. [Электронный ресурс]:Учебник для вузов. - Москва: Юрайт, 2020. - 510 – Режим доступа: https://urait.ru/bcode/465339</w:t>
            </w:r>
          </w:p>
        </w:tc>
      </w:tr>
      <w:tr>
        <w:trPr>
          <w:trHeight w:hRule="exact" w:val="1366.95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Юзвович Л. И., Марамыгин М. С., Князева Е. Г., Исакова Н. Ю., Дегтярев С. А., Клименко М. Н. Финансы, денежное обращение и кредит. [Электронный ресурс]:учебник для обучающихся в вузах по направлениям подготовки УГСН 380000 "Экономика и управление". - Екатеринбург: Издательство Уральского университета, 2019. - 354 – Режим доступа: http://lib.usue.ru/resource/limit/ump/20/p492571.pdf</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Шадурская М. М., Смородина Е. А., Бакунова Т. В., Львова М. И., Торопова И. В. Налоги и налогообложение.:учебник для обучающихся в вузах по направлениям "Экономика и управление", "Юриспруденция", "Торговое дело", "Менеджмент". - Екатеринбург: Издательство Уральского университета, 2020. - 293</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Пинская М. Р., Бауэр В. П., Ворожихин В. В., Милоголов Н. С. Международное налогообложение. Размывание налоговой базы с использованием офшоров. [Электронный ресурс]:монография. - Москва: ИНФРА-М, 2019. - 192 – Режим доступа: https://znanium.com/catalog/product/1003239</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Черник Д. Г., Шмелев Ю. Д., Гулькова Е. Л., Захарова А. В., Карп М. В., Кирова Е. А., Морозова Н. Г., Самоделко Л. С., Сенков В. А., Типалина М. В. Налоги и налогообложение. Практикум. [Электронный ресурс]:Учебное пособие для вузов. - Москва: Юрайт, 2020. - 438 – Режим доступа: https://urait.ru/bcode/450378</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Налоги и налогообложение. [Электронный ресурс]:сборник заданий и задач для практических занятий и самостоятельной работы. - Екатеринбург: Издательство УрГЭУ, 2019. - 108 – Режим доступа: http://lib.usue.ru/resource/limit/uml/19/m3015.pdf</w:t>
            </w:r>
          </w:p>
        </w:tc>
      </w:tr>
      <w:tr>
        <w:trPr>
          <w:trHeight w:hRule="exact" w:val="277.8301"/>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4"/>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Министерства</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https://www.minfin.ru/ru/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Официальный</w:t>
            </w:r>
            <w:r>
              <w:rPr/>
              <w:t xml:space="preserve"> </w:t>
            </w:r>
            <w:r>
              <w:rPr>
                <w:rFonts w:ascii="Times New Roman" w:hAnsi="Times New Roman" w:cs="Times New Roman"/>
                <w:b/>
                <w:color w:val="#000000"/>
                <w:sz w:val="24"/>
                <w:szCs w:val="24"/>
              </w:rPr>
              <w:t>сайт</w:t>
            </w:r>
            <w:r>
              <w:rPr/>
              <w:t xml:space="preserve"> </w:t>
            </w:r>
            <w:r>
              <w:rPr>
                <w:rFonts w:ascii="Times New Roman" w:hAnsi="Times New Roman" w:cs="Times New Roman"/>
                <w:b/>
                <w:color w:val="#000000"/>
                <w:sz w:val="24"/>
                <w:szCs w:val="24"/>
              </w:rPr>
              <w:t>Федеральной</w:t>
            </w:r>
            <w:r>
              <w:rPr/>
              <w:t xml:space="preserve"> </w:t>
            </w:r>
            <w:r>
              <w:rPr>
                <w:rFonts w:ascii="Times New Roman" w:hAnsi="Times New Roman" w:cs="Times New Roman"/>
                <w:b/>
                <w:color w:val="#000000"/>
                <w:sz w:val="24"/>
                <w:szCs w:val="24"/>
              </w:rPr>
              <w:t>налоговой</w:t>
            </w:r>
            <w:r>
              <w:rPr/>
              <w:t xml:space="preserve"> </w:t>
            </w:r>
            <w:r>
              <w:rPr>
                <w:rFonts w:ascii="Times New Roman" w:hAnsi="Times New Roman" w:cs="Times New Roman"/>
                <w:b/>
                <w:color w:val="#000000"/>
                <w:sz w:val="24"/>
                <w:szCs w:val="24"/>
              </w:rPr>
              <w:t>службы</w:t>
            </w:r>
            <w:r>
              <w:rPr/>
              <w:t xml:space="preserve"> </w:t>
            </w:r>
            <w:r>
              <w:rPr>
                <w:rFonts w:ascii="Times New Roman" w:hAnsi="Times New Roman" w:cs="Times New Roman"/>
                <w:b/>
                <w:color w:val="#000000"/>
                <w:sz w:val="24"/>
                <w:szCs w:val="24"/>
              </w:rPr>
              <w:t>РФ</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https://www.nalog.ru/rn66/</w:t>
            </w:r>
            <w:r>
              <w:rPr/>
              <w:t xml:space="preserve"> </w:t>
            </w:r>
          </w:p>
        </w:tc>
      </w:tr>
      <w:tr>
        <w:trPr>
          <w:trHeight w:hRule="exact" w:val="424.0955"/>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Смородина</w:t>
            </w:r>
            <w:r>
              <w:rPr/>
              <w:t xml:space="preserve"> </w:t>
            </w:r>
            <w:r>
              <w:rPr>
                <w:rFonts w:ascii="Times New Roman" w:hAnsi="Times New Roman" w:cs="Times New Roman"/>
                <w:color w:val="#000000"/>
                <w:sz w:val="24"/>
                <w:szCs w:val="24"/>
              </w:rPr>
              <w:t>Елена</w:t>
            </w:r>
            <w:r>
              <w:rPr/>
              <w:t xml:space="preserve"> </w:t>
            </w:r>
            <w:r>
              <w:rPr>
                <w:rFonts w:ascii="Times New Roman" w:hAnsi="Times New Roman" w:cs="Times New Roman"/>
                <w:color w:val="#000000"/>
                <w:sz w:val="24"/>
                <w:szCs w:val="24"/>
              </w:rPr>
              <w:t>Анатольевна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2021-2022_38_03_01-УАТвЦЭ-2021_очное_plx_Налоги и налогообложение</dc:title>
  <dc:creator>FastReport.NET</dc:creator>
</cp:coreProperties>
</file>