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Технологическая</w:t>
            </w:r>
            <w:r>
              <w:rPr/>
              <w:t xml:space="preserve"> </w:t>
            </w:r>
            <w:r>
              <w:rPr>
                <w:rFonts w:ascii="Times New Roman" w:hAnsi="Times New Roman" w:cs="Times New Roman"/>
                <w:color w:val="#000000"/>
                <w:sz w:val="24"/>
                <w:szCs w:val="24"/>
              </w:rPr>
              <w:t>(проектно-технологическая)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английском</w:t>
            </w:r>
            <w:r>
              <w:rPr/>
              <w:t xml:space="preserve"> </w:t>
            </w:r>
            <w:r>
              <w:rPr>
                <w:rFonts w:ascii="Times New Roman" w:hAnsi="Times New Roman" w:cs="Times New Roman"/>
                <w:color w:val="#000000"/>
                <w:sz w:val="24"/>
                <w:szCs w:val="24"/>
              </w:rPr>
              <w:t>языке)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креативного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наук</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Трунцевский Ю. В., Карпович О. Г. Оценка коррупционных рисков компании. [Электронный ресурс]:монография. - Москва: ИНФРА-М, 2019. - 272 – Режим доступа: https://znanium.com/catalog/product/1018453</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Гуреева М.А. Внешнеэкономическая деятельность. [Электронный ресурс]:Учебное пособие. - Москва: Издательский Дом "ФОРУМ", 2020. - 288 с. – Режим доступа: https://znanium.com/catalog/product/1045371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Поспелов В.К., Котляров Н.Н. Международный бизнес. [Электронный ресурс]:Учебное пособие. - Москва: Вузовский учебник, 2018. - 256 с. – Режим доступа: https://znanium.com/catalog/product/972674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Королев В. И., Зайцев Л.Г. Современные проблемы менеджмента в международном бизнесе. [Электронный ресурс]:Монография. - Москва: Издательство "Магистр", 2018. - 400 с. – Режим доступа: https://znanium.com/catalog/product/960054</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Колесов В. П., Осьмова М. Н., Авдокушин Е. Ф., Белова Л. Г., Вихорева О. М., Глущенко Г. И., Дунаев С. А., Зубенко В. А., Касаткина Е. А., Карловская С. Б. Мировая экономика. Экономика стран и регионов. [Электронный ресурс]:учебник для академического бакалавриата : для студентов вузов, обучающихся по экономическим направлениям и специальностям. - Москва: Юрайт, 2019. - 519 – Режим доступа: https://urait.ru/bcode/432842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Матусевич А. П. Международный офшорный бизнес. [Электронный ресурс]:учебное пособие. - Москва: Магистр: ИНФРА-М, 2018. - 192 – Режим доступа: https://znanium.com/catalog/product/916108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Громова Н. М. Межкультурные отличия в практике бизнеса. [Электронный ресурс]:научное издание. - Москва: Магистр: ИНФРА-М, 2018. - 164 – Режим доступа: https://znanium.com/catalog/product/934659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Игнатова О. В., Орлова Н. Л., Горбунова О. А., Асон Т. А. Мировая экономика и международные экономические отношения. Практикум. [Электронный ресурс]:Учебное пособие для вузов. - Москва: Юрайт, 2020. - 212 – Режим доступа: https://urait.ru/bcode/465998</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ИБК</w:t>
            </w:r>
            <w:r>
              <w:rPr/>
              <w:t xml:space="preserve"> </w:t>
            </w:r>
            <w:r>
              <w:rPr>
                <w:rFonts w:ascii="Times New Roman" w:hAnsi="Times New Roman" w:cs="Times New Roman"/>
                <w:b/>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eLIBRARY.RU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https://elibrary.ru/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«ЛАНЬ»</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http://e.lanbook.com/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Znanium.com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http://znanium.com/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Троицкий</w:t>
            </w:r>
            <w:r>
              <w:rPr/>
              <w:t xml:space="preserve"> </w:t>
            </w:r>
            <w:r>
              <w:rPr>
                <w:rFonts w:ascii="Times New Roman" w:hAnsi="Times New Roman" w:cs="Times New Roman"/>
                <w:b/>
                <w:color w:val="#000000"/>
                <w:sz w:val="24"/>
                <w:szCs w:val="24"/>
              </w:rPr>
              <w:t>мост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http://www.trmost.ru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ЮРАЙТ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https://www.biblio-online.ru/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Университетская</w:t>
            </w:r>
            <w:r>
              <w:rPr/>
              <w:t xml:space="preserve"> </w:t>
            </w:r>
            <w:r>
              <w:rPr>
                <w:rFonts w:ascii="Times New Roman" w:hAnsi="Times New Roman" w:cs="Times New Roman"/>
                <w:b/>
                <w:color w:val="#000000"/>
                <w:sz w:val="24"/>
                <w:szCs w:val="24"/>
              </w:rPr>
              <w:t>информационная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РОССИЯ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https://uisrussia.msu.ru/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Архив</w:t>
            </w:r>
            <w:r>
              <w:rPr/>
              <w:t xml:space="preserve"> </w:t>
            </w:r>
            <w:r>
              <w:rPr>
                <w:rFonts w:ascii="Times New Roman" w:hAnsi="Times New Roman" w:cs="Times New Roman"/>
                <w:b/>
                <w:color w:val="#000000"/>
                <w:sz w:val="24"/>
                <w:szCs w:val="24"/>
              </w:rPr>
              <w:t>научных</w:t>
            </w:r>
            <w:r>
              <w:rPr/>
              <w:t xml:space="preserve"> </w:t>
            </w:r>
            <w:r>
              <w:rPr>
                <w:rFonts w:ascii="Times New Roman" w:hAnsi="Times New Roman" w:cs="Times New Roman"/>
                <w:b/>
                <w:color w:val="#000000"/>
                <w:sz w:val="24"/>
                <w:szCs w:val="24"/>
              </w:rPr>
              <w:t>журналов</w:t>
            </w:r>
            <w:r>
              <w:rPr/>
              <w:t xml:space="preserve"> </w:t>
            </w:r>
            <w:r>
              <w:rPr>
                <w:rFonts w:ascii="Times New Roman" w:hAnsi="Times New Roman" w:cs="Times New Roman"/>
                <w:b/>
                <w:color w:val="#000000"/>
                <w:sz w:val="24"/>
                <w:szCs w:val="24"/>
              </w:rPr>
              <w:t>NEICON</w:t>
            </w:r>
            <w:r>
              <w:rPr/>
              <w:t xml:space="preserve"> </w:t>
            </w:r>
            <w:r>
              <w:rPr>
                <w:rFonts w:ascii="Times New Roman" w:hAnsi="Times New Roman" w:cs="Times New Roman"/>
                <w:b/>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http://archive.neicon.ru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Обзор</w:t>
            </w:r>
            <w:r>
              <w:rPr/>
              <w:t xml:space="preserve"> </w:t>
            </w:r>
            <w:r>
              <w:rPr>
                <w:rFonts w:ascii="Times New Roman" w:hAnsi="Times New Roman" w:cs="Times New Roman"/>
                <w:b/>
                <w:color w:val="#000000"/>
                <w:sz w:val="24"/>
                <w:szCs w:val="24"/>
              </w:rPr>
              <w:t>СМИ</w:t>
            </w:r>
            <w:r>
              <w:rPr/>
              <w:t xml:space="preserve"> </w:t>
            </w:r>
            <w:r>
              <w:rPr>
                <w:rFonts w:ascii="Times New Roman" w:hAnsi="Times New Roman" w:cs="Times New Roman"/>
                <w:b/>
                <w:color w:val="#000000"/>
                <w:sz w:val="24"/>
                <w:szCs w:val="24"/>
              </w:rPr>
              <w:t>Polpred.com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http://polpred.com</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Ресурсы</w:t>
            </w:r>
            <w:r>
              <w:rPr/>
              <w:t xml:space="preserve"> </w:t>
            </w:r>
            <w:r>
              <w:rPr>
                <w:rFonts w:ascii="Times New Roman" w:hAnsi="Times New Roman" w:cs="Times New Roman"/>
                <w:b/>
                <w:color w:val="#000000"/>
                <w:sz w:val="24"/>
                <w:szCs w:val="24"/>
              </w:rPr>
              <w:t>АРБИКОН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http://arbicon.ru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КиберЛенинка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http://cyberleninka.ru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«Инвестиционные</w:t>
            </w:r>
            <w:r>
              <w:rPr/>
              <w:t xml:space="preserve"> </w:t>
            </w:r>
            <w:r>
              <w:rPr>
                <w:rFonts w:ascii="Times New Roman" w:hAnsi="Times New Roman" w:cs="Times New Roman"/>
                <w:b/>
                <w:color w:val="#000000"/>
                <w:sz w:val="24"/>
                <w:szCs w:val="24"/>
              </w:rPr>
              <w:t>возможности</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www.ivr.ru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экономического</w:t>
            </w:r>
            <w:r>
              <w:rPr/>
              <w:t xml:space="preserve"> </w:t>
            </w:r>
            <w:r>
              <w:rPr>
                <w:rFonts w:ascii="Times New Roman" w:hAnsi="Times New Roman" w:cs="Times New Roman"/>
                <w:b/>
                <w:color w:val="#000000"/>
                <w:sz w:val="24"/>
                <w:szCs w:val="24"/>
              </w:rPr>
              <w:t>сотрудничества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развития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www.oecd.org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Мирового</w:t>
            </w:r>
            <w:r>
              <w:rPr/>
              <w:t xml:space="preserve"> </w:t>
            </w:r>
            <w:r>
              <w:rPr>
                <w:rFonts w:ascii="Times New Roman" w:hAnsi="Times New Roman" w:cs="Times New Roman"/>
                <w:b/>
                <w:color w:val="#000000"/>
                <w:sz w:val="24"/>
                <w:szCs w:val="24"/>
              </w:rPr>
              <w:t>банка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www.worldbank.org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Всемирной</w:t>
            </w:r>
            <w:r>
              <w:rPr/>
              <w:t xml:space="preserve"> </w:t>
            </w:r>
            <w:r>
              <w:rPr>
                <w:rFonts w:ascii="Times New Roman" w:hAnsi="Times New Roman" w:cs="Times New Roman"/>
                <w:b/>
                <w:color w:val="#000000"/>
                <w:sz w:val="24"/>
                <w:szCs w:val="24"/>
              </w:rPr>
              <w:t>торговой</w:t>
            </w:r>
            <w:r>
              <w:rPr/>
              <w:t xml:space="preserve"> </w:t>
            </w:r>
            <w:r>
              <w:rPr>
                <w:rFonts w:ascii="Times New Roman" w:hAnsi="Times New Roman" w:cs="Times New Roman"/>
                <w:b/>
                <w:color w:val="#000000"/>
                <w:sz w:val="24"/>
                <w:szCs w:val="24"/>
              </w:rPr>
              <w:t>организации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www.wto.org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ООН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www.un.org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Конференции</w:t>
            </w:r>
            <w:r>
              <w:rPr/>
              <w:t xml:space="preserve"> </w:t>
            </w:r>
            <w:r>
              <w:rPr>
                <w:rFonts w:ascii="Times New Roman" w:hAnsi="Times New Roman" w:cs="Times New Roman"/>
                <w:b/>
                <w:color w:val="#000000"/>
                <w:sz w:val="24"/>
                <w:szCs w:val="24"/>
              </w:rPr>
              <w:t>ООН</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торговле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развитию</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www.unctad.org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Правительства</w:t>
            </w:r>
            <w:r>
              <w:rPr/>
              <w:t xml:space="preserve"> </w:t>
            </w:r>
            <w:r>
              <w:rPr>
                <w:rFonts w:ascii="Times New Roman" w:hAnsi="Times New Roman" w:cs="Times New Roman"/>
                <w:b/>
                <w:color w:val="#000000"/>
                <w:sz w:val="24"/>
                <w:szCs w:val="24"/>
              </w:rPr>
              <w:t>Свердловской</w:t>
            </w:r>
            <w:r>
              <w:rPr/>
              <w:t xml:space="preserve"> </w:t>
            </w:r>
            <w:r>
              <w:rPr>
                <w:rFonts w:ascii="Times New Roman" w:hAnsi="Times New Roman" w:cs="Times New Roman"/>
                <w:b/>
                <w:color w:val="#000000"/>
                <w:sz w:val="24"/>
                <w:szCs w:val="24"/>
              </w:rPr>
              <w:t>области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http://www.midural.ru/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международных</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внешнеэкономических</w:t>
            </w:r>
            <w:r>
              <w:rPr/>
              <w:t xml:space="preserve"> </w:t>
            </w:r>
            <w:r>
              <w:rPr>
                <w:rFonts w:ascii="Times New Roman" w:hAnsi="Times New Roman" w:cs="Times New Roman"/>
                <w:b/>
                <w:color w:val="#000000"/>
                <w:sz w:val="24"/>
                <w:szCs w:val="24"/>
              </w:rPr>
              <w:t>связей</w:t>
            </w:r>
            <w:r>
              <w:rPr/>
              <w:t xml:space="preserve"> </w:t>
            </w:r>
            <w:r>
              <w:rPr>
                <w:rFonts w:ascii="Times New Roman" w:hAnsi="Times New Roman" w:cs="Times New Roman"/>
                <w:b/>
                <w:color w:val="#000000"/>
                <w:sz w:val="24"/>
                <w:szCs w:val="24"/>
              </w:rPr>
              <w:t>Свердловской</w:t>
            </w:r>
            <w:r>
              <w:rPr/>
              <w:t xml:space="preserve"> </w:t>
            </w:r>
            <w:r>
              <w:rPr>
                <w:rFonts w:ascii="Times New Roman" w:hAnsi="Times New Roman" w:cs="Times New Roman"/>
                <w:b/>
                <w:color w:val="#000000"/>
                <w:sz w:val="24"/>
                <w:szCs w:val="24"/>
              </w:rPr>
              <w:t>области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http://mvs.midural.ru/ </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деловой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разных</w:t>
            </w:r>
            <w:r>
              <w:rPr/>
              <w:t xml:space="preserve"> </w:t>
            </w:r>
            <w:r>
              <w:rPr>
                <w:rFonts w:ascii="Times New Roman" w:hAnsi="Times New Roman" w:cs="Times New Roman"/>
                <w:b/>
                <w:color w:val="#000000"/>
                <w:sz w:val="24"/>
                <w:szCs w:val="24"/>
              </w:rPr>
              <w:t>стран</w:t>
            </w:r>
            <w:r>
              <w:rPr/>
              <w:t xml:space="preserve"> </w:t>
            </w:r>
            <w:r>
              <w:rPr>
                <w:rFonts w:ascii="Times New Roman" w:hAnsi="Times New Roman" w:cs="Times New Roman"/>
                <w:b/>
                <w:color w:val="#000000"/>
                <w:sz w:val="24"/>
                <w:szCs w:val="24"/>
              </w:rPr>
              <w:t>мира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www.executiveplanet.</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менеджеров</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www.e-xecutive.ru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Стожко</w:t>
            </w:r>
            <w:r>
              <w:rPr/>
              <w:t xml:space="preserve"> </w:t>
            </w:r>
            <w:r>
              <w:rPr>
                <w:rFonts w:ascii="Times New Roman" w:hAnsi="Times New Roman" w:cs="Times New Roman"/>
                <w:color w:val="#000000"/>
                <w:sz w:val="24"/>
                <w:szCs w:val="24"/>
              </w:rPr>
              <w:t>Д.К.</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2021-2022_oz38_04_02_ОЗМ-МБ-21_plx_Технологическая (проектно-технологическая) практика</dc:title>
  <dc:creator>FastReport.NET</dc:creator>
</cp:coreProperties>
</file>