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Обеспечение беспрепятственного доступа в здание образовательной организации инвалидов и лиц с ограниченными возможностями здоровья</w:t>
      </w:r>
    </w:p>
    <w:tbl>
      <w:tblPr>
        <w:tblStyle w:val="Style_1"/>
      </w:tblPr>
      <w:tblGrid>
        <w:gridCol w:w="4672"/>
        <w:gridCol w:w="4673"/>
      </w:tblGrid>
      <w:tr>
        <w:tc>
          <w:tcPr>
            <w:tcW w:type="dxa" w:w="4672"/>
          </w:tcPr>
          <w:p w14:paraId="02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Наличие доступа</w:t>
            </w:r>
          </w:p>
        </w:tc>
        <w:tc>
          <w:tcPr>
            <w:tcW w:type="dxa" w:w="4673"/>
          </w:tcPr>
          <w:p w14:paraId="03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</w:t>
            </w:r>
          </w:p>
        </w:tc>
      </w:tr>
      <w:tr>
        <w:tc>
          <w:tcPr>
            <w:tcW w:type="dxa" w:w="4672"/>
          </w:tcPr>
          <w:p w14:paraId="04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 наличие пандусов</w:t>
            </w:r>
          </w:p>
        </w:tc>
        <w:tc>
          <w:tcPr>
            <w:tcW w:type="dxa" w:w="4673"/>
          </w:tcPr>
          <w:p w14:paraId="05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</w:t>
            </w:r>
          </w:p>
        </w:tc>
      </w:tr>
      <w:tr>
        <w:tc>
          <w:tcPr>
            <w:tcW w:type="dxa" w:w="4672"/>
          </w:tcPr>
          <w:p w14:paraId="0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Подъемников </w:t>
            </w:r>
          </w:p>
        </w:tc>
        <w:tc>
          <w:tcPr>
            <w:tcW w:type="dxa" w:w="4673"/>
          </w:tcPr>
          <w:p w14:paraId="0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</w:t>
            </w:r>
          </w:p>
        </w:tc>
      </w:tr>
      <w:tr>
        <w:tc>
          <w:tcPr>
            <w:tcW w:type="dxa" w:w="4672"/>
          </w:tcPr>
          <w:p w14:paraId="08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Поручней</w:t>
            </w:r>
          </w:p>
        </w:tc>
        <w:tc>
          <w:tcPr>
            <w:tcW w:type="dxa" w:w="4673"/>
          </w:tcPr>
          <w:p w14:paraId="09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</w:t>
            </w:r>
          </w:p>
        </w:tc>
      </w:tr>
      <w:tr>
        <w:tc>
          <w:tcPr>
            <w:tcW w:type="dxa" w:w="4672"/>
          </w:tcPr>
          <w:p w14:paraId="0A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Расширенных дверных проемов</w:t>
            </w:r>
          </w:p>
        </w:tc>
        <w:tc>
          <w:tcPr>
            <w:tcW w:type="dxa" w:w="4673"/>
          </w:tcPr>
          <w:p w14:paraId="0B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</w:t>
            </w:r>
          </w:p>
        </w:tc>
      </w:tr>
      <w:tr>
        <w:tc>
          <w:tcPr>
            <w:tcW w:type="dxa" w:w="4672"/>
          </w:tcPr>
          <w:p w14:paraId="0C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Лифтов</w:t>
            </w:r>
          </w:p>
        </w:tc>
        <w:tc>
          <w:tcPr>
            <w:tcW w:type="dxa" w:w="4673"/>
          </w:tcPr>
          <w:p w14:paraId="0D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</w:t>
            </w:r>
          </w:p>
        </w:tc>
      </w:tr>
    </w:tbl>
    <w:p w14:paraId="0E000000">
      <w:pPr>
        <w:rPr>
          <w:rFonts w:ascii="Times New Roman" w:hAnsi="Times New Roman"/>
          <w:sz w:val="26"/>
        </w:rPr>
      </w:pPr>
      <w:bookmarkStart w:id="1" w:name="_GoBack"/>
      <w:bookmarkEnd w:id="1"/>
      <w:r>
        <w:rPr>
          <w:rFonts w:ascii="Times New Roman" w:hAnsi="Times New Roman"/>
          <w:sz w:val="26"/>
        </w:rPr>
        <w:t>Паспорта доступности зданий, представленные на сайте актуальны.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