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20"/>
        <w:gridCol w:w="1599"/>
        <w:gridCol w:w="7088"/>
        <w:gridCol w:w="425"/>
      </w:tblGrid>
      <w:tr>
        <w:trPr>
          <w:trHeight w:hRule="exact" w:val="304.584"/>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Аннотация</w:t>
            </w:r>
          </w:p>
        </w:tc>
        <w:tc>
          <w:tcPr>
            <w:tcW w:w="426" w:type="dxa"/>
          </w:tcPr>
          <w:p/>
        </w:tc>
      </w:tr>
      <w:tr>
        <w:trPr>
          <w:trHeight w:hRule="exact" w:val="369.999"/>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Рабочей программы дисциплины</w:t>
            </w:r>
          </w:p>
        </w:tc>
        <w:tc>
          <w:tcPr>
            <w:tcW w:w="426" w:type="dxa"/>
          </w:tcPr>
          <w:p/>
        </w:tc>
      </w:tr>
      <w:tr>
        <w:trPr>
          <w:trHeight w:hRule="exact" w:val="490.245"/>
        </w:trPr>
        <w:tc>
          <w:tcPr>
            <w:tcW w:w="1521" w:type="dxa"/>
          </w:tcPr>
          <w:p/>
        </w:tc>
        <w:tc>
          <w:tcPr>
            <w:tcW w:w="1600" w:type="dxa"/>
          </w:tcPr>
          <w:p/>
        </w:tc>
        <w:tc>
          <w:tcPr>
            <w:tcW w:w="7089" w:type="dxa"/>
          </w:tcPr>
          <w:p/>
        </w:tc>
        <w:tc>
          <w:tcPr>
            <w:tcW w:w="426" w:type="dxa"/>
          </w:tcPr>
          <w:p/>
        </w:tc>
      </w:tr>
      <w:tr>
        <w:trPr>
          <w:trHeight w:hRule="exact" w:val="285.18"/>
        </w:trPr>
        <w:tc>
          <w:tcPr>
            <w:tcW w:w="10646.25" w:type="dxa"/>
            <w:gridSpan w:val="4"/>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Кафедра</w:t>
            </w:r>
            <w:r>
              <w:rPr/>
              <w:t xml:space="preserve"> </w:t>
            </w:r>
            <w:r>
              <w:rPr>
                <w:rFonts w:ascii="Times New Roman" w:hAnsi="Times New Roman" w:cs="Times New Roman"/>
                <w:color w:val="#000000"/>
                <w:sz w:val="24"/>
                <w:szCs w:val="24"/>
              </w:rPr>
              <w:t>управления</w:t>
            </w:r>
            <w:r>
              <w:rPr/>
              <w:t xml:space="preserve"> </w:t>
            </w:r>
            <w:r>
              <w:rPr>
                <w:rFonts w:ascii="Times New Roman" w:hAnsi="Times New Roman" w:cs="Times New Roman"/>
                <w:color w:val="#000000"/>
                <w:sz w:val="24"/>
                <w:szCs w:val="24"/>
              </w:rPr>
              <w:t>качеством</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экспертизы</w:t>
            </w:r>
            <w:r>
              <w:rPr/>
              <w:t xml:space="preserve"> </w:t>
            </w:r>
            <w:r>
              <w:rPr>
                <w:rFonts w:ascii="Times New Roman" w:hAnsi="Times New Roman" w:cs="Times New Roman"/>
                <w:color w:val="#000000"/>
                <w:sz w:val="24"/>
                <w:szCs w:val="24"/>
              </w:rPr>
              <w:t>товаров</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услуг</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Дисциплина</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Товароведение</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экспертиза</w:t>
            </w:r>
            <w:r>
              <w:rPr/>
              <w:t xml:space="preserve"> </w:t>
            </w:r>
            <w:r>
              <w:rPr>
                <w:rFonts w:ascii="Times New Roman" w:hAnsi="Times New Roman" w:cs="Times New Roman"/>
                <w:color w:val="#000000"/>
                <w:sz w:val="24"/>
                <w:szCs w:val="24"/>
              </w:rPr>
              <w:t>товаров</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Направление</w:t>
            </w:r>
            <w:r>
              <w:rPr/>
              <w:t xml:space="preserve"> </w:t>
            </w:r>
            <w:r>
              <w:rPr>
                <w:rFonts w:ascii="Times New Roman" w:hAnsi="Times New Roman" w:cs="Times New Roman"/>
                <w:color w:val="#000000"/>
                <w:sz w:val="24"/>
                <w:szCs w:val="24"/>
              </w:rPr>
              <w:t> подготовки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27.03.02</w:t>
            </w:r>
            <w:r>
              <w:rPr/>
              <w:t xml:space="preserve"> </w:t>
            </w:r>
            <w:r>
              <w:rPr>
                <w:rFonts w:ascii="Times New Roman" w:hAnsi="Times New Roman" w:cs="Times New Roman"/>
                <w:color w:val="#000000"/>
                <w:sz w:val="24"/>
                <w:szCs w:val="24"/>
              </w:rPr>
              <w:t>Управление</w:t>
            </w:r>
            <w:r>
              <w:rPr/>
              <w:t xml:space="preserve"> </w:t>
            </w:r>
            <w:r>
              <w:rPr>
                <w:rFonts w:ascii="Times New Roman" w:hAnsi="Times New Roman" w:cs="Times New Roman"/>
                <w:color w:val="#000000"/>
                <w:sz w:val="24"/>
                <w:szCs w:val="24"/>
              </w:rPr>
              <w:t>качеством</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Профиль</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Управление</w:t>
            </w:r>
            <w:r>
              <w:rPr/>
              <w:t xml:space="preserve"> </w:t>
            </w:r>
            <w:r>
              <w:rPr>
                <w:rFonts w:ascii="Times New Roman" w:hAnsi="Times New Roman" w:cs="Times New Roman"/>
                <w:color w:val="#000000"/>
                <w:sz w:val="24"/>
                <w:szCs w:val="24"/>
              </w:rPr>
              <w:t>качеством</w:t>
            </w:r>
            <w:r>
              <w:rPr/>
              <w:t xml:space="preserve"> </w:t>
            </w:r>
            <w:r>
              <w:rPr>
                <w:rFonts w:ascii="Times New Roman" w:hAnsi="Times New Roman" w:cs="Times New Roman"/>
                <w:color w:val="#000000"/>
                <w:sz w:val="24"/>
                <w:szCs w:val="24"/>
              </w:rPr>
              <w:t>в</w:t>
            </w:r>
            <w:r>
              <w:rPr/>
              <w:t xml:space="preserve"> </w:t>
            </w:r>
            <w:r>
              <w:rPr>
                <w:rFonts w:ascii="Times New Roman" w:hAnsi="Times New Roman" w:cs="Times New Roman"/>
                <w:color w:val="#000000"/>
                <w:sz w:val="24"/>
                <w:szCs w:val="24"/>
              </w:rPr>
              <w:t>производственно-технологических</w:t>
            </w:r>
            <w:r>
              <w:rPr/>
              <w:t xml:space="preserve"> </w:t>
            </w:r>
            <w:r>
              <w:rPr>
                <w:rFonts w:ascii="Times New Roman" w:hAnsi="Times New Roman" w:cs="Times New Roman"/>
                <w:color w:val="#000000"/>
                <w:sz w:val="24"/>
                <w:szCs w:val="24"/>
              </w:rPr>
              <w:t>системах</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сфере</w:t>
            </w:r>
            <w:r>
              <w:rPr/>
              <w:t xml:space="preserve"> </w:t>
            </w:r>
            <w:r>
              <w:rPr>
                <w:rFonts w:ascii="Times New Roman" w:hAnsi="Times New Roman" w:cs="Times New Roman"/>
                <w:color w:val="#000000"/>
                <w:sz w:val="24"/>
                <w:szCs w:val="24"/>
              </w:rPr>
              <w:t>услуг</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Объем</w:t>
            </w:r>
            <w:r>
              <w:rPr/>
              <w:t xml:space="preserve"> </w:t>
            </w:r>
            <w:r>
              <w:rPr>
                <w:rFonts w:ascii="Times New Roman" w:hAnsi="Times New Roman" w:cs="Times New Roman"/>
                <w:color w:val="#000000"/>
                <w:sz w:val="24"/>
                <w:szCs w:val="24"/>
              </w:rPr>
              <w:t>дисциплины</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4</w:t>
            </w:r>
            <w:r>
              <w:rPr/>
              <w:t xml:space="preserve"> </w:t>
            </w:r>
            <w:r>
              <w:rPr>
                <w:rFonts w:ascii="Times New Roman" w:hAnsi="Times New Roman" w:cs="Times New Roman"/>
                <w:color w:val="#000000"/>
                <w:sz w:val="24"/>
                <w:szCs w:val="24"/>
              </w:rPr>
              <w:t>з.е</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Формы</w:t>
            </w:r>
            <w:r>
              <w:rPr/>
              <w:t xml:space="preserve"> </w:t>
            </w:r>
            <w:r>
              <w:rPr>
                <w:rFonts w:ascii="Times New Roman" w:hAnsi="Times New Roman" w:cs="Times New Roman"/>
                <w:color w:val="#000000"/>
                <w:sz w:val="24"/>
                <w:szCs w:val="24"/>
              </w:rPr>
              <w:t>промежуточной</w:t>
            </w:r>
            <w:r>
              <w:rPr/>
              <w:t xml:space="preserve"> </w:t>
            </w:r>
            <w:r>
              <w:rPr>
                <w:rFonts w:ascii="Times New Roman" w:hAnsi="Times New Roman" w:cs="Times New Roman"/>
                <w:color w:val="#000000"/>
                <w:sz w:val="24"/>
                <w:szCs w:val="24"/>
              </w:rPr>
              <w:t>аттестации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left"/>
              <w:spacing w:after="0" w:line="240" w:lineRule="auto"/>
              <w:rPr>
                <w:sz w:val="19"/>
                <w:szCs w:val="19"/>
              </w:rPr>
            </w:pPr>
            <w:r>
              <w:rPr>
                <w:rFonts w:ascii="Times New Roman" w:hAnsi="Times New Roman" w:cs="Times New Roman"/>
                <w:color w:val="#000000"/>
                <w:sz w:val="19"/>
                <w:szCs w:val="19"/>
              </w:rPr>
              <w:t> Зачет</w:t>
            </w:r>
          </w:p>
        </w:tc>
      </w:tr>
      <w:tr>
        <w:trPr>
          <w:trHeight w:hRule="exact" w:val="288.4139"/>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дисциплины</w:t>
            </w:r>
            <w:r>
              <w:rPr/>
              <w:t xml:space="preserve"> </w:t>
            </w:r>
            <w:r>
              <w:rPr>
                <w:rFonts w:ascii="Times New Roman" w:hAnsi="Times New Roman" w:cs="Times New Roman"/>
                <w:b/>
                <w:color w:val="#000000"/>
                <w:sz w:val="24"/>
                <w:szCs w:val="24"/>
              </w:rPr>
              <w:t> </w:t>
            </w:r>
            <w:r>
              <w:rPr/>
              <w:t xml:space="preserve"> </w:t>
            </w:r>
          </w:p>
        </w:tc>
      </w:tr>
      <w:tr>
        <w:trPr>
          <w:trHeight w:hRule="exact" w:val="1179.23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Тема</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Наименование темы</w:t>
            </w:r>
          </w:p>
        </w:tc>
      </w:tr>
      <w:tr>
        <w:trPr>
          <w:trHeight w:hRule="exact" w:val="585.059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Основы товароведения  и экспертизы товаров, нормативно-правовая база. Классификация и кодирование продовольственных товаров.</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2.</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Качество товаров. Факторы, формирующие и сохраняющие качество продукции.</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3.</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Виды и средства информации о товаре. Маркировка товаров, функции и элементы.</w:t>
            </w:r>
          </w:p>
        </w:tc>
      </w:tr>
      <w:tr>
        <w:trPr>
          <w:trHeight w:hRule="exact" w:val="585.059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4.</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Товароведение и экспертиза продовольственных товаров растительного происхождения (зерномучные, кондитерские, вкусовые, плодоовощные).</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5.</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Товароведная характеристика продуктов животного происхождения</w:t>
            </w:r>
          </w:p>
        </w:tc>
      </w:tr>
      <w:tr>
        <w:trPr>
          <w:trHeight w:hRule="exact" w:val="629.1598"/>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Список</w:t>
            </w:r>
            <w:r>
              <w:rPr/>
              <w:t xml:space="preserve"> </w:t>
            </w:r>
            <w:r>
              <w:rPr>
                <w:rFonts w:ascii="Times New Roman" w:hAnsi="Times New Roman" w:cs="Times New Roman"/>
                <w:b/>
                <w:color w:val="#000000"/>
                <w:sz w:val="24"/>
                <w:szCs w:val="24"/>
              </w:rPr>
              <w:t>литературы </w:t>
            </w:r>
            <w:r>
              <w:rPr/>
              <w:t xml:space="preserve"> </w:t>
            </w:r>
          </w:p>
        </w:tc>
      </w:tr>
      <w:tr>
        <w:trPr>
          <w:trHeight w:hRule="exact" w:val="196.9804"/>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Основная литература:</w:t>
            </w:r>
          </w:p>
        </w:tc>
      </w:tr>
      <w:tr>
        <w:trPr>
          <w:trHeight w:hRule="exact" w:val="1089.12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Калачев С. Л. Теоретические основы товароведения и экспертизы. [Электронный ресурс]:учебник для бакалавров : для студентов вузов, обучающихся по специальностям "Коммерция" и "Товароведение и экспертиза товаров". - Москва: Юрайт, 2019. - 477 – Режим доступа: https://urait.ru/bcode/425165</w:t>
            </w:r>
          </w:p>
        </w:tc>
      </w:tr>
      <w:tr>
        <w:trPr>
          <w:trHeight w:hRule="exact" w:val="826.1411"/>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Зонова Л.Н., Михайлова Л.В. Теоретические основы товароведения и экспертизы [Электронный ресурс]:Учебное пособие для бакалавров. - Москва: Издательско-торговая корпорация "Дашков и К", 2020. - 192 – Режим доступа: https://znanium.com/catalog/product/1091458</w:t>
            </w:r>
          </w:p>
        </w:tc>
      </w:tr>
      <w:tr>
        <w:trPr>
          <w:trHeight w:hRule="exact" w:val="826.140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Ляшко А.А., Ходыкин А.П. Товароведение, экспертиза и стандартизация [Электронный ресурс]:Учебник. - Москва: Издательско-торговая корпорация "Дашков и К", 2020. - 666 – Режим доступа: https://znanium.com/catalog/product/1093472</w:t>
            </w:r>
          </w:p>
        </w:tc>
      </w:tr>
      <w:tr>
        <w:trPr>
          <w:trHeight w:hRule="exact" w:val="826.1393"/>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Петрище Ф.А. Теоретические основы товароведения и экспертизы [Электронный ресурс]:Учебник. - Москва: Издательско-торговая корпорация "Дашков и К", 2018. - 508 – Режим доступа: https://znanium.com/catalog/product/1093715</w:t>
            </w:r>
          </w:p>
        </w:tc>
      </w:tr>
      <w:tr>
        <w:trPr>
          <w:trHeight w:hRule="exact" w:val="826.140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5. Райкова Е.Ю. Теоретические основы товароведения и экспертизы [Электронный ресурс]:Учебник. - Москва: Издательско-торговая корпорация "Дашков и К", 2020. - 412 – Режим доступа: https://znanium.com/catalog/product/1093719</w:t>
            </w:r>
          </w:p>
        </w:tc>
      </w:tr>
      <w:tr>
        <w:trPr>
          <w:trHeight w:hRule="exact" w:val="826.140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6. Вилкова С.А., Михайлова Л.В. Товароведение и экспертиза хозяйственных товаров [Электронный ресурс]:Учебно-методическая литература. - Москва: Издательско-торговая корпорация "Дашков и К", 2020. - 498 – Режим доступа: https://znanium.com/catalog/product/1093027</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773"/>
      </w:tblGrid>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7. Чалых Т. И., Пехташева Е. Л., Райкова Е. Ю., Умаленова Н. В., Фукина О. В., Ибрагимова Н. А., Золотова С. В., Сорокин Д. А., Горюнова О. Б. Товароведение однородных групп непродовольственных товаров.:учебник для студентов, обучающихся по направлениям подготовки "Товароведение", "Торговое дело" (квалификация "бакалавр"). - Москва: Дашков и К°, 2013. - 759</w:t>
            </w:r>
          </w:p>
        </w:tc>
      </w:tr>
      <w:tr>
        <w:trPr>
          <w:trHeight w:hRule="exact" w:val="1366.95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8. Елисеева Л. Г., Родина Т. Г., Рыжакова А. В., Елисеев М. Н., Иванова Т. Н., Положишникова М. А., Коснырева Л. М., Гончаренко О. А. Товароведение однородных групп продовольственных товаров.:учебник для студентов, обучающихся по направлениям подготовки "Товароведение", "Торговое дело", "Технология продукции и организация общественного питания" и "Экономика" (квалификация "бакалавр"). - Москва: Дашков и К°, 2014. - 929</w:t>
            </w:r>
          </w:p>
        </w:tc>
      </w:tr>
      <w:tr>
        <w:trPr>
          <w:trHeight w:hRule="exact" w:val="424.0951"/>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Дополнительная литература:</w:t>
            </w:r>
          </w:p>
        </w:tc>
      </w:tr>
      <w:tr>
        <w:trPr>
          <w:trHeight w:hRule="exact" w:val="1089.12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Григорян Е. С. Товароведение. [Электронный ресурс]:учебное пособие для студентов вузов, обучающихся по направлению 100800 "Товароведение" (квалификация (степень) - "бакалавр"). - Москва: ИНФРА-М, 2014. - 265 – Режим доступа: https://znanium.com/catalog/product/354879</w:t>
            </w:r>
          </w:p>
        </w:tc>
      </w:tr>
      <w:tr>
        <w:trPr>
          <w:trHeight w:hRule="exact" w:val="826.1402"/>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Чечик Л. Товароведение и экспертиза товаров культурно-бытового назначения [Электронный ресурс]:Учебник. - Москва: Издательско-торговая корпорация "Дашков и К", 2012. - 536 – Режим доступа: https://znanium.com/catalog/product/415561</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Николаева М.А. Теоретические основы товароведения. [Электронный ресурс]:учебник для студентов вузов, обучающихся по специальностям "Товароведение и экспертиза товаров" и "Коммерция". - Москва: Норма: ИНФРА-М, 2015. - 448 – Режим доступа: https://znanium.com/catalog/product/502706</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Вытовтов А. А. Теоретические и практические основы органолептического анализа продуктов питания. [Электронный ресурс]:учебное пособие для студентов вузов, обучающихся по специальности 080401 «Товароведение и экспертиза товаров». - Санкт-Петербург: ГИОРД, 2010. - 232 – Режим доступа: https://e.lanbook.com/book/4906</w:t>
            </w:r>
          </w:p>
        </w:tc>
      </w:tr>
      <w:tr>
        <w:trPr>
          <w:trHeight w:hRule="exact" w:val="826.1397"/>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5. Чечеткина Н. М., Путилина Т. И., Самарина С. М. Товарная экспертиза:учебник для студентов вузов обучающихся по экономическим специальностям и специалистов в области коммерции. - Ростов-на-Дону: Феникс, 2000. - 510</w:t>
            </w: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6. Шевченко В. В. Товароведение и экспертиза потребительских товаров:учебник для студентов торговых вузов. - Москва: ИНФРА-М, 2001. - 543</w:t>
            </w:r>
          </w:p>
        </w:tc>
      </w:tr>
      <w:tr>
        <w:trPr>
          <w:trHeight w:hRule="exact" w:val="555.6607"/>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7. Жиряева Е. В. Товароведение:производственно-практическое издание. - Санкт-Петербург: Питер, 2002. - 415</w:t>
            </w:r>
          </w:p>
        </w:tc>
      </w:tr>
      <w:tr>
        <w:trPr>
          <w:trHeight w:hRule="exact" w:val="277.8304"/>
        </w:trPr>
        <w:tc>
          <w:tcPr>
            <w:tcW w:w="10774" w:type="dxa"/>
          </w:tcPr>
          <w:p/>
        </w:tc>
      </w:tr>
      <w:tr>
        <w:trPr>
          <w:trHeight w:hRule="exact" w:val="826.1402"/>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технологий,</w:t>
            </w:r>
            <w:r>
              <w:rPr/>
              <w:t xml:space="preserve"> </w:t>
            </w:r>
            <w:r>
              <w:rPr>
                <w:rFonts w:ascii="Times New Roman" w:hAnsi="Times New Roman" w:cs="Times New Roman"/>
                <w:b/>
                <w:color w:val="#000000"/>
                <w:sz w:val="24"/>
                <w:szCs w:val="24"/>
              </w:rPr>
              <w:t>включая</w:t>
            </w:r>
            <w:r>
              <w:rPr/>
              <w:t xml:space="preserve"> </w:t>
            </w: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лицензионного</w:t>
            </w:r>
            <w:r>
              <w:rPr/>
              <w:t xml:space="preserve"> </w:t>
            </w:r>
            <w:r>
              <w:rPr>
                <w:rFonts w:ascii="Times New Roman" w:hAnsi="Times New Roman" w:cs="Times New Roman"/>
                <w:b/>
                <w:color w:val="#000000"/>
                <w:sz w:val="24"/>
                <w:szCs w:val="24"/>
              </w:rPr>
              <w:t>программного</w:t>
            </w:r>
            <w:r>
              <w:rPr/>
              <w:t xml:space="preserve"> </w:t>
            </w:r>
            <w:r>
              <w:rPr>
                <w:rFonts w:ascii="Times New Roman" w:hAnsi="Times New Roman" w:cs="Times New Roman"/>
                <w:b/>
                <w:color w:val="#000000"/>
                <w:sz w:val="24"/>
                <w:szCs w:val="24"/>
              </w:rPr>
              <w:t>обеспечения</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справочных</w:t>
            </w:r>
            <w:r>
              <w:rPr/>
              <w:t xml:space="preserve"> </w:t>
            </w:r>
            <w:r>
              <w:rPr>
                <w:rFonts w:ascii="Times New Roman" w:hAnsi="Times New Roman" w:cs="Times New Roman"/>
                <w:b/>
                <w:color w:val="#000000"/>
                <w:sz w:val="24"/>
                <w:szCs w:val="24"/>
              </w:rPr>
              <w:t>систем,</w:t>
            </w:r>
            <w:r>
              <w:rPr/>
              <w:t xml:space="preserve"> </w:t>
            </w:r>
            <w:r>
              <w:rPr>
                <w:rFonts w:ascii="Times New Roman" w:hAnsi="Times New Roman" w:cs="Times New Roman"/>
                <w:b/>
                <w:color w:val="#000000"/>
                <w:sz w:val="24"/>
                <w:szCs w:val="24"/>
              </w:rPr>
              <w:t> онлайн</w:t>
            </w:r>
            <w:r>
              <w:rPr/>
              <w:t xml:space="preserve"> </w:t>
            </w:r>
            <w:r>
              <w:rPr>
                <w:rFonts w:ascii="Times New Roman" w:hAnsi="Times New Roman" w:cs="Times New Roman"/>
                <w:b/>
                <w:color w:val="#000000"/>
                <w:sz w:val="24"/>
                <w:szCs w:val="24"/>
              </w:rPr>
              <w:t>курсов,</w:t>
            </w:r>
            <w:r>
              <w:rPr/>
              <w:t xml:space="preserve"> </w:t>
            </w:r>
            <w:r>
              <w:rPr>
                <w:rFonts w:ascii="Times New Roman" w:hAnsi="Times New Roman" w:cs="Times New Roman"/>
                <w:b/>
                <w:color w:val="#000000"/>
                <w:sz w:val="24"/>
                <w:szCs w:val="24"/>
              </w:rPr>
              <w:t>используемых</w:t>
            </w:r>
            <w:r>
              <w:rPr/>
              <w:t xml:space="preserve"> </w:t>
            </w: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осуществлении</w:t>
            </w:r>
            <w:r>
              <w:rPr/>
              <w:t xml:space="preserve"> </w:t>
            </w:r>
            <w:r>
              <w:rPr>
                <w:rFonts w:ascii="Times New Roman" w:hAnsi="Times New Roman" w:cs="Times New Roman"/>
                <w:b/>
                <w:color w:val="#000000"/>
                <w:sz w:val="24"/>
                <w:szCs w:val="24"/>
              </w:rPr>
              <w:t>образовательного</w:t>
            </w:r>
            <w:r>
              <w:rPr/>
              <w:t xml:space="preserve"> </w:t>
            </w:r>
            <w:r>
              <w:rPr>
                <w:rFonts w:ascii="Times New Roman" w:hAnsi="Times New Roman" w:cs="Times New Roman"/>
                <w:b/>
                <w:color w:val="#000000"/>
                <w:sz w:val="24"/>
                <w:szCs w:val="24"/>
              </w:rPr>
              <w:t>процесса</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дисциплине </w:t>
            </w:r>
            <w:r>
              <w:rPr/>
              <w:t xml:space="preserve"> </w:t>
            </w:r>
          </w:p>
        </w:tc>
      </w:tr>
      <w:tr>
        <w:trPr>
          <w:trHeight w:hRule="exact" w:val="424.0946"/>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лицензионного программного обеспечения:</w:t>
            </w:r>
          </w:p>
        </w:tc>
      </w:tr>
      <w:tr>
        <w:trPr>
          <w:trHeight w:hRule="exact" w:val="277.8295"/>
        </w:trPr>
        <w:tc>
          <w:tcPr>
            <w:tcW w:w="10774" w:type="dxa"/>
          </w:tcP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Windows</w:t>
            </w:r>
            <w:r>
              <w:rPr/>
              <w:t xml:space="preserve"> </w:t>
            </w:r>
            <w:r>
              <w:rPr>
                <w:rFonts w:ascii="Times New Roman" w:hAnsi="Times New Roman" w:cs="Times New Roman"/>
                <w:color w:val="#000000"/>
                <w:sz w:val="24"/>
                <w:szCs w:val="24"/>
              </w:rPr>
              <w:t>10</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555.6598"/>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Astra</w:t>
            </w:r>
            <w:r>
              <w:rPr/>
              <w:t xml:space="preserve"> </w:t>
            </w:r>
            <w:r>
              <w:rPr>
                <w:rFonts w:ascii="Times New Roman" w:hAnsi="Times New Roman" w:cs="Times New Roman"/>
                <w:color w:val="#000000"/>
                <w:sz w:val="24"/>
                <w:szCs w:val="24"/>
              </w:rPr>
              <w:t>Linux</w:t>
            </w:r>
            <w:r>
              <w:rPr/>
              <w:t xml:space="preserve"> </w:t>
            </w:r>
            <w:r>
              <w:rPr>
                <w:rFonts w:ascii="Times New Roman" w:hAnsi="Times New Roman" w:cs="Times New Roman"/>
                <w:color w:val="#000000"/>
                <w:sz w:val="24"/>
                <w:szCs w:val="24"/>
              </w:rPr>
              <w:t>Common</w:t>
            </w:r>
            <w:r>
              <w:rPr/>
              <w:t xml:space="preserve"> </w:t>
            </w:r>
            <w:r>
              <w:rPr>
                <w:rFonts w:ascii="Times New Roman" w:hAnsi="Times New Roman" w:cs="Times New Roman"/>
                <w:color w:val="#000000"/>
                <w:sz w:val="24"/>
                <w:szCs w:val="24"/>
              </w:rPr>
              <w:t>Edition.</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17</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555.6607"/>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Microsoft</w:t>
            </w:r>
            <w:r>
              <w:rPr/>
              <w:t xml:space="preserve"> </w:t>
            </w:r>
            <w:r>
              <w:rPr>
                <w:rFonts w:ascii="Times New Roman" w:hAnsi="Times New Roman" w:cs="Times New Roman"/>
                <w:color w:val="#000000"/>
                <w:sz w:val="24"/>
                <w:szCs w:val="24"/>
              </w:rPr>
              <w:t>Office</w:t>
            </w:r>
            <w:r>
              <w:rPr/>
              <w:t xml:space="preserve"> </w:t>
            </w:r>
            <w:r>
              <w:rPr>
                <w:rFonts w:ascii="Times New Roman" w:hAnsi="Times New Roman" w:cs="Times New Roman"/>
                <w:color w:val="#000000"/>
                <w:sz w:val="24"/>
                <w:szCs w:val="24"/>
              </w:rPr>
              <w:t>2016.Договор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52/223-ПО/2020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13.04.2020,</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Tr000523459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14.10.2020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30.09.2023. </w:t>
            </w:r>
            <w:r>
              <w:rPr/>
              <w:t xml:space="preserve"> </w:t>
            </w:r>
          </w:p>
        </w:tc>
      </w:tr>
      <w:tr>
        <w:trPr>
          <w:trHeight w:hRule="exact" w:val="285.1804"/>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Libre</w:t>
            </w:r>
            <w:r>
              <w:rPr/>
              <w:t xml:space="preserve"> </w:t>
            </w:r>
            <w:r>
              <w:rPr>
                <w:rFonts w:ascii="Times New Roman" w:hAnsi="Times New Roman" w:cs="Times New Roman"/>
                <w:color w:val="#000000"/>
                <w:sz w:val="24"/>
                <w:szCs w:val="24"/>
              </w:rPr>
              <w:t>Office.</w:t>
            </w:r>
            <w:r>
              <w:rPr/>
              <w:t xml:space="preserve"> </w:t>
            </w:r>
            <w:r>
              <w:rPr>
                <w:rFonts w:ascii="Times New Roman" w:hAnsi="Times New Roman" w:cs="Times New Roman"/>
                <w:color w:val="#000000"/>
                <w:sz w:val="24"/>
                <w:szCs w:val="24"/>
              </w:rPr>
              <w:t>Лицензия</w:t>
            </w:r>
            <w:r>
              <w:rPr/>
              <w:t xml:space="preserve"> </w:t>
            </w:r>
            <w:r>
              <w:rPr>
                <w:rFonts w:ascii="Times New Roman" w:hAnsi="Times New Roman" w:cs="Times New Roman"/>
                <w:color w:val="#000000"/>
                <w:sz w:val="24"/>
                <w:szCs w:val="24"/>
              </w:rPr>
              <w:t>GNU</w:t>
            </w:r>
            <w:r>
              <w:rPr/>
              <w:t xml:space="preserve"> </w:t>
            </w:r>
            <w:r>
              <w:rPr>
                <w:rFonts w:ascii="Times New Roman" w:hAnsi="Times New Roman" w:cs="Times New Roman"/>
                <w:color w:val="#000000"/>
                <w:sz w:val="24"/>
                <w:szCs w:val="24"/>
              </w:rPr>
              <w:t>LGPL.</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694.5741"/>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информационных справочных систем, ресурсов информационно- телекоммуникационной сети «Интернет»:</w:t>
            </w:r>
          </w:p>
        </w:tc>
      </w:tr>
      <w:tr>
        <w:trPr>
          <w:trHeight w:hRule="exact" w:val="826.1402"/>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Гарант.</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58419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22</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2015.</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Консультант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163/223-У/2020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14.12.2020.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до</w:t>
            </w:r>
            <w:r>
              <w:rPr/>
              <w:t xml:space="preserve"> </w:t>
            </w:r>
            <w:r>
              <w:rPr>
                <w:rFonts w:ascii="Times New Roman" w:hAnsi="Times New Roman" w:cs="Times New Roman"/>
                <w:color w:val="#000000"/>
                <w:sz w:val="24"/>
                <w:szCs w:val="24"/>
              </w:rPr>
              <w:t>31.12.2021</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773"/>
      </w:tblGrid>
      <w:tr>
        <w:trPr>
          <w:trHeight w:hRule="exact" w:val="285.18"/>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Аннотацию</w:t>
            </w:r>
            <w:r>
              <w:rPr/>
              <w:t xml:space="preserve"> </w:t>
            </w:r>
            <w:r>
              <w:rPr>
                <w:rFonts w:ascii="Times New Roman" w:hAnsi="Times New Roman" w:cs="Times New Roman"/>
                <w:color w:val="#000000"/>
                <w:sz w:val="24"/>
                <w:szCs w:val="24"/>
              </w:rPr>
              <w:t>подготовил:</w:t>
            </w:r>
            <w:r>
              <w:rPr/>
              <w:t xml:space="preserve"> </w:t>
            </w:r>
            <w:r>
              <w:rPr>
                <w:rFonts w:ascii="Times New Roman" w:hAnsi="Times New Roman" w:cs="Times New Roman"/>
                <w:color w:val="#000000"/>
                <w:sz w:val="24"/>
                <w:szCs w:val="24"/>
              </w:rPr>
              <w:t>Пастушкова</w:t>
            </w:r>
            <w:r>
              <w:rPr/>
              <w:t xml:space="preserve"> </w:t>
            </w:r>
            <w:r>
              <w:rPr>
                <w:rFonts w:ascii="Times New Roman" w:hAnsi="Times New Roman" w:cs="Times New Roman"/>
                <w:color w:val="#000000"/>
                <w:sz w:val="24"/>
                <w:szCs w:val="24"/>
              </w:rPr>
              <w:t>Е.В.</w:t>
            </w:r>
            <w:r>
              <w:rPr/>
              <w:t xml:space="preserve"> </w:t>
            </w:r>
          </w:p>
        </w:tc>
      </w:tr>
    </w:tbl>
    <w:p/>
    <w:sectPr>
      <w:pgSz w:w="11907" w:h="16840"/>
      <w:pgMar w:top="567" w:right="567" w:bottom="5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A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ettings" Target="settings.xml" />
<Relationship Id="rId2" Type="http://schemas.openxmlformats.org/officeDocument/2006/relationships/styles" Target="styles.xml" />
<Relationship Id="rId3" Type="http://schemas.openxmlformats.org/officeDocument/2006/relationships/fontTable" Target="fontTable.xml" />
</Relationships>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Worksheets</vt:lpstr>
      </vt:variant>
      <vt:variant>
        <vt:i4>2</vt:i4>
      </vt:variant>
    </vt:vector>
  </HeadingPairs>
  <TitlesOfParts>
    <vt:vector size="1" baseType="lpstr">
      <vt:lpstr>Лист1</vt:lpstr>
    </vt:vector>
  </TitlesOfParts>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2022-2023_z27_03_02-УКвПТС-2022_заочное_plx_Товароведение и экспертиза товаров</dc:title>
  <dc:creator>FastReport.NET</dc:creator>
</cp:coreProperties>
</file>