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20"/>
        <w:gridCol w:w="1599"/>
        <w:gridCol w:w="7088"/>
        <w:gridCol w:w="425"/>
      </w:tblGrid>
      <w:tr>
        <w:trPr>
          <w:trHeight w:hRule="exact" w:val="304.584"/>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369.999"/>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дисциплины</w:t>
            </w:r>
          </w:p>
        </w:tc>
        <w:tc>
          <w:tcPr>
            <w:tcW w:w="426" w:type="dxa"/>
          </w:tcPr>
          <w:p/>
        </w:tc>
      </w:tr>
      <w:tr>
        <w:trPr>
          <w:trHeight w:hRule="exact" w:val="490.245"/>
        </w:trPr>
        <w:tc>
          <w:tcPr>
            <w:tcW w:w="1521" w:type="dxa"/>
          </w:tcPr>
          <w:p/>
        </w:tc>
        <w:tc>
          <w:tcPr>
            <w:tcW w:w="1600" w:type="dxa"/>
          </w:tcPr>
          <w:p/>
        </w:tc>
        <w:tc>
          <w:tcPr>
            <w:tcW w:w="7089" w:type="dxa"/>
          </w:tcPr>
          <w:p/>
        </w:tc>
        <w:tc>
          <w:tcPr>
            <w:tcW w:w="426" w:type="dxa"/>
          </w:tcPr>
          <w:p/>
        </w:tc>
      </w:tr>
      <w:tr>
        <w:trPr>
          <w:trHeight w:hRule="exact" w:val="285.18"/>
        </w:trPr>
        <w:tc>
          <w:tcPr>
            <w:tcW w:w="10646.25" w:type="dxa"/>
            <w:gridSpan w:val="4"/>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финансов,</w:t>
            </w:r>
            <w:r>
              <w:rPr/>
              <w:t xml:space="preserve"> </w:t>
            </w:r>
            <w:r>
              <w:rPr>
                <w:rFonts w:ascii="Times New Roman" w:hAnsi="Times New Roman" w:cs="Times New Roman"/>
                <w:color w:val="#000000"/>
                <w:sz w:val="24"/>
                <w:szCs w:val="24"/>
              </w:rPr>
              <w:t>денежного</w:t>
            </w:r>
            <w:r>
              <w:rPr/>
              <w:t xml:space="preserve"> </w:t>
            </w:r>
            <w:r>
              <w:rPr>
                <w:rFonts w:ascii="Times New Roman" w:hAnsi="Times New Roman" w:cs="Times New Roman"/>
                <w:color w:val="#000000"/>
                <w:sz w:val="24"/>
                <w:szCs w:val="24"/>
              </w:rPr>
              <w:t>обращения</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кредита</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Дисциплина</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Налоговое</w:t>
            </w:r>
            <w:r>
              <w:rPr/>
              <w:t xml:space="preserve"> </w:t>
            </w:r>
            <w:r>
              <w:rPr>
                <w:rFonts w:ascii="Times New Roman" w:hAnsi="Times New Roman" w:cs="Times New Roman"/>
                <w:color w:val="#000000"/>
                <w:sz w:val="24"/>
                <w:szCs w:val="24"/>
              </w:rPr>
              <w:t>планирование</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малом</w:t>
            </w:r>
            <w:r>
              <w:rPr/>
              <w:t xml:space="preserve"> </w:t>
            </w:r>
            <w:r>
              <w:rPr>
                <w:rFonts w:ascii="Times New Roman" w:hAnsi="Times New Roman" w:cs="Times New Roman"/>
                <w:color w:val="#000000"/>
                <w:sz w:val="24"/>
                <w:szCs w:val="24"/>
              </w:rPr>
              <w:t>бизнесе</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Направление</w:t>
            </w:r>
            <w:r>
              <w:rPr/>
              <w:t xml:space="preserve"> </w:t>
            </w:r>
            <w:r>
              <w:rPr>
                <w:rFonts w:ascii="Times New Roman" w:hAnsi="Times New Roman" w:cs="Times New Roman"/>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38.03.02</w:t>
            </w:r>
            <w:r>
              <w:rPr/>
              <w:t xml:space="preserve"> </w:t>
            </w:r>
            <w:r>
              <w:rPr>
                <w:rFonts w:ascii="Times New Roman" w:hAnsi="Times New Roman" w:cs="Times New Roman"/>
                <w:color w:val="#000000"/>
                <w:sz w:val="24"/>
                <w:szCs w:val="24"/>
              </w:rPr>
              <w:t>Менеджмент</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Управление</w:t>
            </w:r>
            <w:r>
              <w:rPr/>
              <w:t xml:space="preserve"> </w:t>
            </w:r>
            <w:r>
              <w:rPr>
                <w:rFonts w:ascii="Times New Roman" w:hAnsi="Times New Roman" w:cs="Times New Roman"/>
                <w:color w:val="#000000"/>
                <w:sz w:val="24"/>
                <w:szCs w:val="24"/>
              </w:rPr>
              <w:t>малым</w:t>
            </w:r>
            <w:r>
              <w:rPr/>
              <w:t xml:space="preserve"> </w:t>
            </w:r>
            <w:r>
              <w:rPr>
                <w:rFonts w:ascii="Times New Roman" w:hAnsi="Times New Roman" w:cs="Times New Roman"/>
                <w:color w:val="#000000"/>
                <w:sz w:val="24"/>
                <w:szCs w:val="24"/>
              </w:rPr>
              <w:t>бизнесом</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Объем</w:t>
            </w:r>
            <w:r>
              <w:rPr/>
              <w:t xml:space="preserve"> </w:t>
            </w:r>
            <w:r>
              <w:rPr>
                <w:rFonts w:ascii="Times New Roman" w:hAnsi="Times New Roman" w:cs="Times New Roman"/>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Формы</w:t>
            </w:r>
            <w:r>
              <w:rPr/>
              <w:t xml:space="preserve"> </w:t>
            </w:r>
            <w:r>
              <w:rPr>
                <w:rFonts w:ascii="Times New Roman" w:hAnsi="Times New Roman" w:cs="Times New Roman"/>
                <w:color w:val="#000000"/>
                <w:sz w:val="24"/>
                <w:szCs w:val="24"/>
              </w:rPr>
              <w:t>промежуточной</w:t>
            </w:r>
            <w:r>
              <w:rPr/>
              <w:t xml:space="preserve"> </w:t>
            </w:r>
            <w:r>
              <w:rPr>
                <w:rFonts w:ascii="Times New Roman" w:hAnsi="Times New Roman" w:cs="Times New Roman"/>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Зачет</w:t>
            </w:r>
          </w:p>
        </w:tc>
      </w:tr>
      <w:tr>
        <w:trPr>
          <w:trHeight w:hRule="exact" w:val="288.4139"/>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1179.23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Тема</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Наименование темы</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Теоретические и правовые основы налогового планирования</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2.</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Инструменты налогового планирования</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3.</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Методики исчисления налоговой нагрузки предприятия</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4.</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Организация  налогового планирования на предприятиях малого бизнеса</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5.</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Риски налогового планирования</w:t>
            </w:r>
          </w:p>
        </w:tc>
      </w:tr>
      <w:tr>
        <w:trPr>
          <w:trHeight w:hRule="exact" w:val="184.6324"/>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795"/>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548.3098"/>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Лыкова Л. Н. Налоги и налогообложение. [Электронный ресурс]:Учебник и практикум для вузов. - Москва: Юрайт, 2020. - 376 – Режим доступа: https://urait.ru/bcode/450593</w:t>
            </w:r>
          </w:p>
        </w:tc>
      </w:tr>
      <w:tr>
        <w:trPr>
          <w:trHeight w:hRule="exact" w:val="555.6598"/>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Пименов Н. А., Демин С. С. Налоговое планирование. [Электронный ресурс]:Учебник и практикум для вузов. - Москва: Юрайт, 2020. - 136 – Режим доступа: https://urait.ru/bcode/451459</w:t>
            </w:r>
          </w:p>
        </w:tc>
      </w:tr>
      <w:tr>
        <w:trPr>
          <w:trHeight w:hRule="exact" w:val="1366.95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Маршавина Л. Я., Агапова А. А., Белецкий М. В., Глубокова Н. Ю., Голубцова Е. В., Дадашев А. З., Князева А. В., Колчин С. П., Омшанова Э. А., Пономарева Н. В., Семенова Г. Н., Стручкова Е. С., Сычева Е. И., Топчи Ю. А., Чалова А. Ю. Налоги и налогообложение. [Электронный ресурс]:Учебник для вузов. - Москва: Юрайт, 2020. - 510 – Режим доступа: https://urait.ru/bcode/465339</w:t>
            </w:r>
          </w:p>
        </w:tc>
      </w:tr>
      <w:tr>
        <w:trPr>
          <w:trHeight w:hRule="exact" w:val="826.140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Шадурская М. М. Налоги и налогообложение:учебник для обучающихся в вузах по направлениям "Экономика и управление", "Юриспруденция", "Торговое дело", "Менеджмент". - Екатеринбург: Издательство Уральского университета, 2020. - 293</w:t>
            </w:r>
          </w:p>
        </w:tc>
      </w:tr>
      <w:tr>
        <w:trPr>
          <w:trHeight w:hRule="exact" w:val="424.0955"/>
        </w:trPr>
        <w:tc>
          <w:tcPr>
            <w:tcW w:w="10788" w:type="dxa"/>
            <w:gridSpan w:val="4"/>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818.789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Евстигнеев Е.Н., Викторова Н.Г. Налоговый менеджмент и налоговое планирование в России [Электронный ресурс]:Монография. - Москва: ООО "Научно-издательский центр ИНФРА- М", 2020. - 270 – Режим доступа: https://znanium.com/catalog/product/1044518</w:t>
            </w:r>
          </w:p>
        </w:tc>
      </w:tr>
      <w:tr>
        <w:trPr>
          <w:trHeight w:hRule="exact" w:val="1096.47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Черник Д. Г., Шмелев Ю. Д., Гулькова Е. Л., Захарова А. В., Карп М. В., Кирова Е. А., Морозова Н. Г., Самоделко Л. С., Сенков В. А., Типалина М. В. Налоги и налогообложение. Практикум. [Электронный ресурс]:Учебное пособие для вузов. - Москва: Юрайт, 2020. - 438 – Режим доступа: https://urait.ru/bcode/450378</w:t>
            </w:r>
          </w:p>
        </w:tc>
      </w:tr>
      <w:tr>
        <w:trPr>
          <w:trHeight w:hRule="exact" w:val="1096.47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Шадурская М. М. Налоги и налогообложение [Электронный ресурс]:учебник для обучающихся в вузах по направлениям подготовки УГСН 380000 "Экономика и управление", УГСН 400000 "Юриспруденция". - Екатеринбург: [Издательство УрГЭУ], 2019. - 215 – Режим доступа: http://lib.usue.ru/resource/limit/ump/20/p492654.pdf</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826.14"/>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5"/>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299"/>
        </w:trPr>
        <w:tc>
          <w:tcPr>
            <w:tcW w:w="10774" w:type="dxa"/>
          </w:tcPr>
          <w:p/>
        </w:tc>
      </w:tr>
      <w:tr>
        <w:trPr>
          <w:trHeight w:hRule="exact" w:val="555.66"/>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МойОфис</w:t>
            </w:r>
            <w:r>
              <w:rPr/>
              <w:t xml:space="preserve"> </w:t>
            </w:r>
            <w:r>
              <w:rPr>
                <w:rFonts w:ascii="Times New Roman" w:hAnsi="Times New Roman" w:cs="Times New Roman"/>
                <w:color w:val="#000000"/>
                <w:sz w:val="24"/>
                <w:szCs w:val="24"/>
              </w:rPr>
              <w:t>стандартный.</w:t>
            </w:r>
            <w:r>
              <w:rPr/>
              <w:t xml:space="preserve"> </w:t>
            </w:r>
            <w:r>
              <w:rPr>
                <w:rFonts w:ascii="Times New Roman" w:hAnsi="Times New Roman" w:cs="Times New Roman"/>
                <w:color w:val="#000000"/>
                <w:sz w:val="24"/>
                <w:szCs w:val="24"/>
              </w:rPr>
              <w:t>Соглашение</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СК-281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7</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2017.</w:t>
            </w:r>
            <w:r>
              <w:rPr/>
              <w:t xml:space="preserve"> </w:t>
            </w:r>
            <w:r>
              <w:rPr>
                <w:rFonts w:ascii="Times New Roman" w:hAnsi="Times New Roman" w:cs="Times New Roman"/>
                <w:color w:val="#000000"/>
                <w:sz w:val="24"/>
                <w:szCs w:val="24"/>
              </w:rPr>
              <w:t>Дата</w:t>
            </w:r>
            <w:r>
              <w:rPr/>
              <w:t xml:space="preserve"> </w:t>
            </w:r>
            <w:r>
              <w:rPr>
                <w:rFonts w:ascii="Times New Roman" w:hAnsi="Times New Roman" w:cs="Times New Roman"/>
                <w:color w:val="#000000"/>
                <w:sz w:val="24"/>
                <w:szCs w:val="24"/>
              </w:rPr>
              <w:t>заключения</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07.06.2017.</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555.66"/>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Astra</w:t>
            </w:r>
            <w:r>
              <w:rPr/>
              <w:t xml:space="preserve"> </w:t>
            </w:r>
            <w:r>
              <w:rPr>
                <w:rFonts w:ascii="Times New Roman" w:hAnsi="Times New Roman" w:cs="Times New Roman"/>
                <w:color w:val="#000000"/>
                <w:sz w:val="24"/>
                <w:szCs w:val="24"/>
              </w:rPr>
              <w:t>Linux</w:t>
            </w:r>
            <w:r>
              <w:rPr/>
              <w:t xml:space="preserve"> </w:t>
            </w:r>
            <w:r>
              <w:rPr>
                <w:rFonts w:ascii="Times New Roman" w:hAnsi="Times New Roman" w:cs="Times New Roman"/>
                <w:color w:val="#000000"/>
                <w:sz w:val="24"/>
                <w:szCs w:val="24"/>
              </w:rPr>
              <w:t>Common</w:t>
            </w:r>
            <w:r>
              <w:rPr/>
              <w:t xml:space="preserve"> </w:t>
            </w:r>
            <w:r>
              <w:rPr>
                <w:rFonts w:ascii="Times New Roman" w:hAnsi="Times New Roman" w:cs="Times New Roman"/>
                <w:color w:val="#000000"/>
                <w:sz w:val="24"/>
                <w:szCs w:val="24"/>
              </w:rPr>
              <w:t>Edition.</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17</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694.575"/>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Консультант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163/223-У/2020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14.12.2020.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до</w:t>
            </w:r>
            <w:r>
              <w:rPr/>
              <w:t xml:space="preserve"> </w:t>
            </w:r>
            <w:r>
              <w:rPr>
                <w:rFonts w:ascii="Times New Roman" w:hAnsi="Times New Roman" w:cs="Times New Roman"/>
                <w:color w:val="#000000"/>
                <w:sz w:val="24"/>
                <w:szCs w:val="24"/>
              </w:rPr>
              <w:t>31.12.2021</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826.1402"/>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Гарант.</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58419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22</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2015.</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555.6594"/>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b/>
                <w:color w:val="#000000"/>
                <w:sz w:val="24"/>
                <w:szCs w:val="24"/>
              </w:rPr>
              <w:t>Официальный</w:t>
            </w:r>
            <w:r>
              <w:rPr/>
              <w:t xml:space="preserve"> </w:t>
            </w:r>
            <w:r>
              <w:rPr>
                <w:rFonts w:ascii="Times New Roman" w:hAnsi="Times New Roman" w:cs="Times New Roman"/>
                <w:b/>
                <w:color w:val="#000000"/>
                <w:sz w:val="24"/>
                <w:szCs w:val="24"/>
              </w:rPr>
              <w:t>сайт</w:t>
            </w:r>
            <w:r>
              <w:rPr/>
              <w:t xml:space="preserve"> </w:t>
            </w:r>
            <w:r>
              <w:rPr>
                <w:rFonts w:ascii="Times New Roman" w:hAnsi="Times New Roman" w:cs="Times New Roman"/>
                <w:b/>
                <w:color w:val="#000000"/>
                <w:sz w:val="24"/>
                <w:szCs w:val="24"/>
              </w:rPr>
              <w:t>Министерства</w:t>
            </w:r>
            <w:r>
              <w:rPr/>
              <w:t xml:space="preserve"> </w:t>
            </w:r>
            <w:r>
              <w:rPr>
                <w:rFonts w:ascii="Times New Roman" w:hAnsi="Times New Roman" w:cs="Times New Roman"/>
                <w:b/>
                <w:color w:val="#000000"/>
                <w:sz w:val="24"/>
                <w:szCs w:val="24"/>
              </w:rPr>
              <w:t>финансов</w:t>
            </w:r>
            <w:r>
              <w:rPr/>
              <w:t xml:space="preserve"> </w:t>
            </w:r>
            <w:r>
              <w:rPr>
                <w:rFonts w:ascii="Times New Roman" w:hAnsi="Times New Roman" w:cs="Times New Roman"/>
                <w:b/>
                <w:color w:val="#000000"/>
                <w:sz w:val="24"/>
                <w:szCs w:val="24"/>
              </w:rPr>
              <w:t>РФ</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https://minfin.gov.ru/ru/</w:t>
            </w:r>
            <w:r>
              <w:rPr/>
              <w:t xml:space="preserve"> </w:t>
            </w:r>
          </w:p>
        </w:tc>
      </w:tr>
      <w:tr>
        <w:trPr>
          <w:trHeight w:hRule="exact" w:val="555.660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b/>
                <w:color w:val="#000000"/>
                <w:sz w:val="24"/>
                <w:szCs w:val="24"/>
              </w:rPr>
              <w:t>Официальный</w:t>
            </w:r>
            <w:r>
              <w:rPr/>
              <w:t xml:space="preserve"> </w:t>
            </w:r>
            <w:r>
              <w:rPr>
                <w:rFonts w:ascii="Times New Roman" w:hAnsi="Times New Roman" w:cs="Times New Roman"/>
                <w:b/>
                <w:color w:val="#000000"/>
                <w:sz w:val="24"/>
                <w:szCs w:val="24"/>
              </w:rPr>
              <w:t>сайт</w:t>
            </w:r>
            <w:r>
              <w:rPr/>
              <w:t xml:space="preserve"> </w:t>
            </w:r>
            <w:r>
              <w:rPr>
                <w:rFonts w:ascii="Times New Roman" w:hAnsi="Times New Roman" w:cs="Times New Roman"/>
                <w:b/>
                <w:color w:val="#000000"/>
                <w:sz w:val="24"/>
                <w:szCs w:val="24"/>
              </w:rPr>
              <w:t>ФНС</w:t>
            </w:r>
            <w:r>
              <w:rPr/>
              <w:t xml:space="preserve"> </w:t>
            </w:r>
            <w:r>
              <w:rPr>
                <w:rFonts w:ascii="Times New Roman" w:hAnsi="Times New Roman" w:cs="Times New Roman"/>
                <w:b/>
                <w:color w:val="#000000"/>
                <w:sz w:val="24"/>
                <w:szCs w:val="24"/>
              </w:rPr>
              <w:t>России</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https://www.nalog.gov.ru/rn77/</w:t>
            </w:r>
            <w:r>
              <w:rPr/>
              <w:t xml:space="preserve"> </w:t>
            </w:r>
          </w:p>
        </w:tc>
      </w:tr>
      <w:tr>
        <w:trPr>
          <w:trHeight w:hRule="exact" w:val="424.0951"/>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Шадурская</w:t>
            </w:r>
            <w:r>
              <w:rPr/>
              <w:t xml:space="preserve"> </w:t>
            </w:r>
            <w:r>
              <w:rPr>
                <w:rFonts w:ascii="Times New Roman" w:hAnsi="Times New Roman" w:cs="Times New Roman"/>
                <w:color w:val="#000000"/>
                <w:sz w:val="24"/>
                <w:szCs w:val="24"/>
              </w:rPr>
              <w:t>М.М.</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2022-2023_oz38_03_02-УМБ-2022_очно-заочное_plx_Налоговое планирование в малом бизнесе</dc:title>
  <dc:creator>FastReport.NET</dc:creator>
</cp:coreProperties>
</file>