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53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5397" w:rsidRDefault="00E25397"/>
        </w:tc>
      </w:tr>
      <w:tr w:rsidR="00E253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5397" w:rsidRDefault="00E25397"/>
        </w:tc>
      </w:tr>
      <w:tr w:rsidR="00E25397">
        <w:trPr>
          <w:trHeight w:hRule="exact" w:val="490"/>
        </w:trPr>
        <w:tc>
          <w:tcPr>
            <w:tcW w:w="1521" w:type="dxa"/>
          </w:tcPr>
          <w:p w:rsidR="00E25397" w:rsidRDefault="00E25397"/>
        </w:tc>
        <w:tc>
          <w:tcPr>
            <w:tcW w:w="1600" w:type="dxa"/>
          </w:tcPr>
          <w:p w:rsidR="00E25397" w:rsidRDefault="00E25397"/>
        </w:tc>
        <w:tc>
          <w:tcPr>
            <w:tcW w:w="7089" w:type="dxa"/>
          </w:tcPr>
          <w:p w:rsidR="00E25397" w:rsidRDefault="00E25397"/>
        </w:tc>
        <w:tc>
          <w:tcPr>
            <w:tcW w:w="426" w:type="dxa"/>
          </w:tcPr>
          <w:p w:rsidR="00E25397" w:rsidRDefault="00E25397"/>
        </w:tc>
      </w:tr>
      <w:tr w:rsidR="00E25397" w:rsidRPr="00B46AC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46AC9">
              <w:rPr>
                <w:lang w:val="ru-RU"/>
              </w:rPr>
              <w:t xml:space="preserve"> </w:t>
            </w:r>
          </w:p>
        </w:tc>
      </w:tr>
      <w:tr w:rsidR="00E25397" w:rsidRPr="00B46A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B46AC9">
              <w:rPr>
                <w:lang w:val="ru-RU"/>
              </w:rPr>
              <w:t xml:space="preserve"> </w:t>
            </w:r>
          </w:p>
        </w:tc>
      </w:tr>
      <w:tr w:rsidR="00E253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E25397" w:rsidRPr="00B46A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B46AC9">
              <w:rPr>
                <w:lang w:val="ru-RU"/>
              </w:rPr>
              <w:t xml:space="preserve"> </w:t>
            </w:r>
          </w:p>
        </w:tc>
      </w:tr>
      <w:tr w:rsidR="00E253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53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25397">
        <w:trPr>
          <w:trHeight w:hRule="exact" w:val="562"/>
        </w:trPr>
        <w:tc>
          <w:tcPr>
            <w:tcW w:w="1521" w:type="dxa"/>
          </w:tcPr>
          <w:p w:rsidR="00E25397" w:rsidRDefault="00E25397"/>
        </w:tc>
        <w:tc>
          <w:tcPr>
            <w:tcW w:w="1600" w:type="dxa"/>
          </w:tcPr>
          <w:p w:rsidR="00E25397" w:rsidRDefault="00E2539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253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53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предмет и структура учебного курса «Региональное управление МСУ»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регионального управления и МСУ</w:t>
            </w:r>
          </w:p>
        </w:tc>
      </w:tr>
      <w:tr w:rsidR="00E253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Федерализм в системе государственного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 страны</w:t>
            </w:r>
          </w:p>
        </w:tc>
      </w:tr>
      <w:tr w:rsidR="00E25397" w:rsidRPr="00B46AC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экономические районы и федеральные округа в системе регионального управления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</w:t>
            </w:r>
          </w:p>
        </w:tc>
      </w:tr>
      <w:tr w:rsidR="00E25397" w:rsidRPr="00B46AC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местного самоуправления и его сущностные признаки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задачи</w:t>
            </w:r>
          </w:p>
        </w:tc>
      </w:tr>
      <w:tr w:rsidR="00E25397" w:rsidRPr="00B46A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</w:t>
            </w:r>
          </w:p>
        </w:tc>
      </w:tr>
      <w:tr w:rsidR="00E25397" w:rsidRPr="00B46AC9">
        <w:trPr>
          <w:trHeight w:hRule="exact" w:val="295"/>
        </w:trPr>
        <w:tc>
          <w:tcPr>
            <w:tcW w:w="1521" w:type="dxa"/>
          </w:tcPr>
          <w:p w:rsidR="00E25397" w:rsidRPr="00B46AC9" w:rsidRDefault="00E2539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5397" w:rsidRPr="00B46AC9" w:rsidRDefault="00E2539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5397" w:rsidRPr="00B46AC9" w:rsidRDefault="00E25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397" w:rsidRPr="00B46AC9" w:rsidRDefault="00E25397">
            <w:pPr>
              <w:rPr>
                <w:lang w:val="ru-RU"/>
              </w:rPr>
            </w:pPr>
          </w:p>
        </w:tc>
      </w:tr>
      <w:tr w:rsidR="00E253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Default="00B46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5397">
        <w:trPr>
          <w:trHeight w:hRule="exact" w:val="196"/>
        </w:trPr>
        <w:tc>
          <w:tcPr>
            <w:tcW w:w="1521" w:type="dxa"/>
          </w:tcPr>
          <w:p w:rsidR="00E25397" w:rsidRDefault="00E25397"/>
        </w:tc>
        <w:tc>
          <w:tcPr>
            <w:tcW w:w="1600" w:type="dxa"/>
          </w:tcPr>
          <w:p w:rsidR="00E25397" w:rsidRDefault="00E25397"/>
        </w:tc>
        <w:tc>
          <w:tcPr>
            <w:tcW w:w="7089" w:type="dxa"/>
          </w:tcPr>
          <w:p w:rsidR="00E25397" w:rsidRDefault="00E25397"/>
        </w:tc>
        <w:tc>
          <w:tcPr>
            <w:tcW w:w="426" w:type="dxa"/>
          </w:tcPr>
          <w:p w:rsidR="00E25397" w:rsidRDefault="00E25397"/>
        </w:tc>
      </w:tr>
      <w:tr w:rsidR="00E253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5397" w:rsidRPr="00B46AC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Шамарова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Основы государственного и муниципального управления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2013.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/451397</w:t>
            </w: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Буров М.П. Региональная экономика и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территориальным развитием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магистров. - Москва: Издательско-торговая корпорация "Дашков и К", 2019.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/1091145</w:t>
            </w: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 Региональное уп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равление и территориальное планирование в 2 ч. Часть 2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/473215</w:t>
            </w: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Алексеев И.А.,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Адамоков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 Муниципальное управление и местное самоу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/1044681</w:t>
            </w:r>
          </w:p>
        </w:tc>
      </w:tr>
      <w:tr w:rsidR="00E2539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25397" w:rsidRDefault="00B46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5397" w:rsidRPr="00B46A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Зандер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Лобкова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Мониторинг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 процессов как инструмент регионального управления и территориального планирования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2016.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</w:p>
        </w:tc>
      </w:tr>
      <w:tr w:rsidR="00E25397" w:rsidRPr="00B46A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Местное самоуправление в Российской Федерации в условиях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правовой </w:t>
            </w:r>
            <w:proofErr w:type="spellStart"/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реформы:монография</w:t>
            </w:r>
            <w:proofErr w:type="spellEnd"/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2017. - 172</w:t>
            </w: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Орешин В.П. Региональная экономика и управление [Электронный 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/1001119</w:t>
            </w:r>
          </w:p>
        </w:tc>
      </w:tr>
      <w:tr w:rsidR="00E25397" w:rsidRPr="00B46A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Дуканова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Морозова Т.Н. Эффективность управления социально-экономическим развитием административно-территориальных образований [Электронный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/1238775</w:t>
            </w:r>
          </w:p>
        </w:tc>
      </w:tr>
      <w:tr w:rsidR="00E25397" w:rsidRPr="00B46AC9">
        <w:trPr>
          <w:trHeight w:hRule="exact" w:val="277"/>
        </w:trPr>
        <w:tc>
          <w:tcPr>
            <w:tcW w:w="10774" w:type="dxa"/>
          </w:tcPr>
          <w:p w:rsidR="00E25397" w:rsidRPr="00B46AC9" w:rsidRDefault="00E25397">
            <w:pPr>
              <w:rPr>
                <w:lang w:val="ru-RU"/>
              </w:rPr>
            </w:pP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6AC9">
              <w:rPr>
                <w:lang w:val="ru-RU"/>
              </w:rPr>
              <w:t xml:space="preserve"> </w:t>
            </w:r>
          </w:p>
        </w:tc>
      </w:tr>
      <w:tr w:rsidR="00E253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5397">
        <w:trPr>
          <w:trHeight w:hRule="exact" w:val="277"/>
        </w:trPr>
        <w:tc>
          <w:tcPr>
            <w:tcW w:w="10774" w:type="dxa"/>
          </w:tcPr>
          <w:p w:rsidR="00E25397" w:rsidRDefault="00E25397"/>
        </w:tc>
      </w:tr>
      <w:tr w:rsidR="00E253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46A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46A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46A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46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5397" w:rsidRPr="00B46A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46AC9">
              <w:rPr>
                <w:lang w:val="ru-RU"/>
              </w:rPr>
              <w:t xml:space="preserve"> </w:t>
            </w:r>
          </w:p>
        </w:tc>
      </w:tr>
      <w:tr w:rsidR="00E25397" w:rsidRPr="00B46A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5397" w:rsidRPr="00B46A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46AC9">
              <w:rPr>
                <w:lang w:val="ru-RU"/>
              </w:rPr>
              <w:t xml:space="preserve"> </w:t>
            </w:r>
          </w:p>
          <w:p w:rsidR="00E25397" w:rsidRPr="00B46AC9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6AC9">
              <w:rPr>
                <w:lang w:val="ru-RU"/>
              </w:rPr>
              <w:t xml:space="preserve"> </w:t>
            </w:r>
          </w:p>
        </w:tc>
      </w:tr>
      <w:tr w:rsidR="00E253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397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46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5397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5397" w:rsidRDefault="00B46A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5397" w:rsidRPr="00B46A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397" w:rsidRPr="00B46AC9" w:rsidRDefault="00B46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B46AC9">
              <w:rPr>
                <w:lang w:val="ru-RU"/>
              </w:rPr>
              <w:t xml:space="preserve"> </w:t>
            </w:r>
            <w:r w:rsidRPr="00B46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B46AC9">
              <w:rPr>
                <w:lang w:val="ru-RU"/>
              </w:rPr>
              <w:t xml:space="preserve"> </w:t>
            </w:r>
          </w:p>
        </w:tc>
      </w:tr>
    </w:tbl>
    <w:p w:rsidR="00B46AC9" w:rsidRDefault="00B46AC9">
      <w:pPr>
        <w:rPr>
          <w:lang w:val="ru-RU"/>
        </w:rPr>
      </w:pPr>
      <w:r>
        <w:rPr>
          <w:lang w:val="ru-RU"/>
        </w:rPr>
        <w:br w:type="page"/>
      </w:r>
    </w:p>
    <w:p w:rsidR="00B46AC9" w:rsidRPr="00B46AC9" w:rsidRDefault="00B46AC9" w:rsidP="00B46AC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46AC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B46AC9" w:rsidRPr="003B2AC7" w:rsidRDefault="00B46AC9" w:rsidP="00B46AC9">
      <w:pPr>
        <w:spacing w:after="0" w:line="240" w:lineRule="auto"/>
        <w:jc w:val="center"/>
        <w:rPr>
          <w:b/>
          <w:snapToGrid w:val="0"/>
        </w:rPr>
      </w:pPr>
      <w:bookmarkStart w:id="0" w:name="_GoBack"/>
      <w:bookmarkEnd w:id="0"/>
    </w:p>
    <w:p w:rsidR="00B46AC9" w:rsidRPr="003B2AC7" w:rsidRDefault="00B46AC9" w:rsidP="00B46AC9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Прогнозирование социально-экономического развития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Использование балансовых методов в управлении региональными социально-экономическими системами.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Исследование рейтинга территорий региона по критериям социально-экономического развития.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Депрессивные территории региона: особенности развития и механизмы регулирования.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Оценка состояния и особенности реструктуризации хозяйственного комплекса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Безработица в субъекте Российской Федерации: динамика, структура, регулирование.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Инвестиционная политика в экономическом пространстве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Иностранные инвестиции как элемент стимулирования социально-экономического развития территории.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 xml:space="preserve">Территориальная структура налоговых поступлений </w:t>
      </w:r>
      <w:proofErr w:type="gramStart"/>
      <w:r w:rsidRPr="003B2AC7">
        <w:rPr>
          <w:sz w:val="24"/>
          <w:szCs w:val="24"/>
        </w:rPr>
        <w:t xml:space="preserve">в </w:t>
      </w:r>
      <w:proofErr w:type="spellStart"/>
      <w:r w:rsidRPr="003B2AC7">
        <w:rPr>
          <w:sz w:val="24"/>
          <w:szCs w:val="24"/>
        </w:rPr>
        <w:t>в</w:t>
      </w:r>
      <w:proofErr w:type="spellEnd"/>
      <w:proofErr w:type="gramEnd"/>
      <w:r w:rsidRPr="003B2AC7">
        <w:rPr>
          <w:sz w:val="24"/>
          <w:szCs w:val="24"/>
        </w:rPr>
        <w:t xml:space="preserve"> субъекте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Оценка состояния и пути повышения эффективности функционирования регионального транспортного комплекса.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Проблемы реформирования социальной инфраструктуры региона.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Социальные программы развития субъекта Российской Федерации и их финансово-экономическое обеспечение.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Программы развития энергетического комплекса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Региональный рынок (труда, энергоресурсов, жилья, недвижимости, потребительских товаров и т.п.): формирование, развитие, регулирование.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Методические подходы оценки качества жизни населения региона.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Региональная экономическая политика и механизмы ее реализации.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 xml:space="preserve">Управление </w:t>
      </w:r>
      <w:proofErr w:type="spellStart"/>
      <w:r w:rsidRPr="003B2AC7">
        <w:rPr>
          <w:sz w:val="24"/>
          <w:szCs w:val="24"/>
        </w:rPr>
        <w:t>инновационно</w:t>
      </w:r>
      <w:proofErr w:type="spellEnd"/>
      <w:r w:rsidRPr="003B2AC7">
        <w:rPr>
          <w:sz w:val="24"/>
          <w:szCs w:val="24"/>
        </w:rPr>
        <w:t>-инвестиционными процессами в регионе.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Особенности формирования полюсов роста в регионе.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Планирование развития сети автомобильных дорог в субъекте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Региональные особенности автомобилизации населения субъекта Российской Федерации и развитие транспортной инфраструктуры.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Особенности управления земельными ресурсами территорий.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Проблемы реструктуризации промышленного комплекса региона.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Основные направления повышения жилищной обеспеченности населения малых и средних городов.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Качество жизни населения – результат активной муниципальной политики.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Проблемы совершенствования транспортного обслуживания населения территорий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Формирование и регулирование системы питьевого водоснабжения в субъекте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Конкурентоспособность региона (муниципального образования): стратегические аспекты.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Исследование внешнеэкономических связей субъекта Российской Федерации.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Особенности использования муниципального имущества.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Оценка и прогнозирование социально-экономического развития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Стратегия социально-экономического развития муниципального образования: особенности разработки и реализации.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Маркетинговая стратегия муниципального образования: особенности разработки и реализации.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Особенности разработки и реализации генерального плана города.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Предпринимательство как фактор социально-экономического развития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Исследование социально-экономического развития административного района крупнейшего города.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Оценка эффективности управления имущественным комплексом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Исследование эффективности управления муниципальной собственностью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lastRenderedPageBreak/>
        <w:t>Особенности формирования и использования бюджета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Муниципальные предприятия в структуре экономики городского округа (муниципального района).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Местный бюджет как основа муниципальных финансов.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Тенденции развития промышленности крупнейшего города.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Оценка эффективности использования городских территорий.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Методы управления рынком жилья в муниципальном образовании.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Политика муниципального образования в развитии жилищного строительства.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Особенности инвестиционной деятельности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Ипотечное кредитование как инструмент решения жилищной проблемы в муниципальном образовании.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Повышение эффективности эксплуатации жилищного фонда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Деятельность органов местного самоуправления в развитии коммунального хозяйства.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Состояние и планирование инфраструктуры обслуживания легкового автотранспорта города.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Эффективность использования нежилой недвижимости, находящейся в муниципальной собственности.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Состояние и перспективы развития транспортной системы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Муниципальная политика в сфере занятости населения.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Регулирование молодежного рынка труда в муниципальном образовании.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Информационные системы в социально-экономическом развитии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Реконструкция и реабилитация ветхого жилищного фонда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Механизма взаимодействия местной власти и бизнеса при реализации муниципальной промышленной политики.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Ресурсы муниципального образования: классификация, эффективность использования.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Муниципальная земельная политика.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sz w:val="24"/>
          <w:szCs w:val="24"/>
        </w:rPr>
        <w:t>Программы и проекты социально-экономического развития муниципального образования.</w:t>
      </w:r>
    </w:p>
    <w:p w:rsidR="00B46AC9" w:rsidRPr="003B2AC7" w:rsidRDefault="00B46AC9" w:rsidP="00B46A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B2AC7">
        <w:rPr>
          <w:rFonts w:ascii="Times New Roman" w:hAnsi="Times New Roman"/>
          <w:sz w:val="24"/>
          <w:szCs w:val="24"/>
        </w:rPr>
        <w:t>Концепция перспективного социально-экономического развития муниципального образования.</w:t>
      </w:r>
    </w:p>
    <w:p w:rsidR="00E25397" w:rsidRPr="00B46AC9" w:rsidRDefault="00E25397">
      <w:pPr>
        <w:rPr>
          <w:lang w:val="ru-RU"/>
        </w:rPr>
      </w:pPr>
    </w:p>
    <w:sectPr w:rsidR="00E25397" w:rsidRPr="00B46A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D6"/>
    <w:multiLevelType w:val="multilevel"/>
    <w:tmpl w:val="15E4521C"/>
    <w:styleLink w:val="WWNum5"/>
    <w:lvl w:ilvl="0">
      <w:start w:val="1"/>
      <w:numFmt w:val="decimal"/>
      <w:lvlText w:val="%1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6AC9"/>
    <w:rsid w:val="00D31453"/>
    <w:rsid w:val="00E209E2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B1663-D5FE-439C-8BBE-F2E9E87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AC9"/>
    <w:pPr>
      <w:suppressAutoHyphens/>
      <w:autoSpaceDN w:val="0"/>
      <w:spacing w:after="0" w:line="360" w:lineRule="exact"/>
      <w:ind w:firstLine="720"/>
      <w:textAlignment w:val="baseline"/>
    </w:pPr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B46AC9"/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numbering" w:customStyle="1" w:styleId="WWNum5">
    <w:name w:val="WWNum5"/>
    <w:basedOn w:val="a2"/>
    <w:rsid w:val="00B46A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Company>УрГЭУ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2022-2023_oz38_04_04_ОЗМ-ГМУвЗР-22_plx_Региональное управление и местное самоуправление</dc:title>
  <dc:creator>FastReport.NET</dc:creator>
  <cp:lastModifiedBy>Курбатова Валерия Платоновна</cp:lastModifiedBy>
  <cp:revision>2</cp:revision>
  <dcterms:created xsi:type="dcterms:W3CDTF">2022-06-10T04:36:00Z</dcterms:created>
  <dcterms:modified xsi:type="dcterms:W3CDTF">2022-06-10T04:37:00Z</dcterms:modified>
</cp:coreProperties>
</file>