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человеческих</w:t>
            </w:r>
            <w:r>
              <w:rPr/>
              <w:t xml:space="preserve"> </w:t>
            </w:r>
            <w:r>
              <w:rPr>
                <w:rFonts w:ascii="Times New Roman" w:hAnsi="Times New Roman" w:cs="Times New Roman"/>
                <w:color w:val="#000000"/>
                <w:sz w:val="24"/>
                <w:szCs w:val="24"/>
              </w:rPr>
              <w:t>ресурсов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человеческих</w:t>
            </w:r>
            <w:r>
              <w:rPr/>
              <w:t xml:space="preserve"> </w:t>
            </w:r>
            <w:r>
              <w:rPr>
                <w:rFonts w:ascii="Times New Roman" w:hAnsi="Times New Roman" w:cs="Times New Roman"/>
                <w:color w:val="#000000"/>
                <w:sz w:val="24"/>
                <w:szCs w:val="24"/>
              </w:rPr>
              <w:t>ресурсов</w:t>
            </w:r>
            <w:r>
              <w:rPr/>
              <w:t xml:space="preserve"> </w:t>
            </w:r>
            <w:r>
              <w:rPr>
                <w:rFonts w:ascii="Times New Roman" w:hAnsi="Times New Roman" w:cs="Times New Roman"/>
                <w:color w:val="#000000"/>
                <w:sz w:val="24"/>
                <w:szCs w:val="24"/>
              </w:rPr>
              <w:t>(HR-бизнес-партнер)</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тренды обучения и развития персонала (T&amp;D / L&amp;D)</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карьерой и обучением персонала в системе стратегического менеджмента персонала</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потребности в обучении и развитии персонала: прогнозирование, долгосрочное и оперативное планирование.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компетенциям и квалификациями персонала, оценка персонала, постановка целей и индивидуальное планирование обучения.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регламентация бизнес-процессов обучения и развития персонала на предприятии.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программами первичной подготовки персонала.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Корпоративные университеты. Подготовка руководителей и топ-менеджеров компаний.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адаптации персонала.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развитие института наставничества на предприятиях и в организациях.</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и мониторинг программ обучения и развития персонала.</w:t>
            </w:r>
          </w:p>
        </w:tc>
      </w:tr>
      <w:tr>
        <w:trPr>
          <w:trHeight w:hRule="exact" w:val="295.763"/>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Бухалков М.И. Управление персоналом: развитие трудового потенциала. [Электронный ресурс]:Учебное пособие. - Москва: ООО "Научно-издательский центр ИНФРА-М", 2005. - 192 с. – Режим доступа: https://znanium.com/catalog/product/97153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Асалиев А.М., Вукович Г. Г. Экономика и управление человеческими ресурсами. [Электронный ресурс]:Учебное пособие. - Москва: ООО "Научно-издательский центр ИНФРА-М", 2013. - 143 с. – Режим доступа: https://znanium.com/catalog/product/414575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Кокинз Г., Тимофеев П.В. Управление результативностью. [Электронный ресурс]:Как преодолеть разрыв между объявленной стратегией и реальными процессами Учебное пособие : Учебное пособие. - Москва: Альпина Бизнес Букс, 2017. - 318 – Режим доступа: https://znanium.com/catalog/product/926093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Бакирова Г. Х. Психология развития и мотивации персонала. [Электронный ресурс]:учебное пособие для студентов вузов, обучающихся по специальностям "Психология" (030301), "Менеджмент организации" (080507), "Управление персоналом" (080505). - Москва: ЮНИТИ-ДАНА, 2017. - 439 – Режим доступа: https://znanium.com/catalog/product/1028563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Джонсон У. Команда А: модель обучения и мотивации для профессионального роста ваших сотрудников. [Электронный ресурс]:Научно-популярная литература. - Москва: ООО "Альпина Паблишер", 2020. - 221 с. – Режим доступа: https://znanium.com/catalog/product/1221008</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Чуланова О.Л. Формирование, развитие и коучинг эмоциональной компетентности в управлении персоналом организации. [Электронный ресурс]:Монография. - Москва: ООО "Научно- издательский центр ИНФРА-М", 2016. - 218 с. – Режим доступа: https://znanium.com/catalog/product/501346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Чуланова О.Л. Компетентностный подход в управлении персоналом: схемы, таблицы, практика применения. [Электронный ресурс]:Учебное пособие. - Москва: ООО "Научно- издательский центр ИНФРА-М", 2016. - 73 с. – Режим доступа: https://znanium.com/catalog/product/501355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Маслова В.М., Полевая М.В. Технологии обучения и развития персонала в организации. [Электронный ресурс]:Учебник. - Москва: Вузовский учебник, 2017. - 256 с. – Режим доступа: https://znanium.com/catalog/product/792722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Мильнер Б. З., Макаров В. Л., Маевский В. И., Сильвестров С. Н., Дынкин А. А., Иванова Н. И., Клейнер Г. Б., Рубанов В. А., Кузык Б. Н. Инновационное развитие. Экономика, интеллектуальные ресурсы, управление знаниями.:научное издание. - Москва: ИНФРА-М, 2010. - 624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А.Г.</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2021-2022_oz38_04_03_ОЗМ-ЭЧР-21_plx_Управление развитием человеческих ресурсов</dc:title>
  <dc:creator>FastReport.NET</dc:creator>
</cp:coreProperties>
</file>