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Антимонопольное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закупок</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законодательства Российской Федерации, регулирующего конкурентные отношения.  Сущность антимонопольного регулирования и его направления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и пресечение монополистической деятельности хозяйствующих субъектов. Недобросовестная конкуренция</w:t>
            </w:r>
          </w:p>
        </w:tc>
      </w:tr>
      <w:tr>
        <w:trPr>
          <w:trHeight w:hRule="exact" w:val="1125.87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и пресечение ограничивающих конкуренцию актов, действий, соглашений и согласованных действий органов исполнительной и государственной власти, органов местного самоуправления. Выявление признаков ценового сговора. Антимонопольное расследование ценового сговора.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Антимонопольные требования к торгам, запросу котировок, запросу предложений</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законодательства Российской Федерации, регулирующего деятельность в сфере закупок</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закупок. Экономические основы формирования начальной максимальной цена контракта</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 для осуществления закупок для государственных и муниципальных нужд. Особенности составления закупочной документации.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исполнение и расторжение контракта в сфере закупок</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и надзор в сфере закупок</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Башлаков-Николаев И. В., Гаврилов Д. А., Кинев А. Ю., Максимов С. В., Пузыревский С. А., Тенишев А. П. Ответственность за нарушения антимонопольного законодательства: проблемы теории и практики. [Электронный ресурс]:монография. - Москва: Норма: ИНФРА-М, 2019. - 144 – Режим доступа: https://znanium.com/catalog/product/1000468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Пузыревский С. А., Гаврилов Д. А., Серегин Д. И. Конкурентное право. [Электронный ресурс]:учебник. - Москва: Норма: ИНФРА-М, 2019. - 416 – Режим доступа: https://znanium.com/catalog/product/1020432</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Шишкин М. В. Антимонопольное регулирование. [Электронный ресурс]:Учебник и практикум для вузов. - Москва: Юрайт, 2020. - 143 – Режим доступа: https://urait.ru/bcode/451368</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Гафурова Г.Т. Управление государственными (муниципальными) закупками. [Электронный ресурс]:Учебное пособие. - Москва: ООО "Научно-издательский центр ИНФРА-М", 2021. - 331 – Режим доступа: https://znanium.com/catalog/product/1121560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Марковская Е. И., Луссе А. В., Медведь А. А., Привалов Н. Г., Рагимова Н. С., Радушинский Д. А., Троицкая И. В., Холодкова В. В. GR. Взаимодействие бизнеса и органов власти. [Электронный ресурс]:Учебник и практикум для вузов. - Москва: Юрайт, 2020. - 367 – Режим доступа: https://urait.ru/bcode/449255</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Казанцев Д. А. Конкурентные закупки. Методология и нормативное регулирование. [Электронный ресурс]:Монография. - Москва: ООО "Научно-издательский центр ИНФРА-М", 2020. - 324 – Режим доступа: https://znanium.com/catalog/product/1068790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Белицкая А. В., Белых В. С., Беляева О. А., Болобонова М. О., Вайпан В. А., Герасимов О. А., Городов О. А., Егорова М. А., Карелина С. А., Касымов Р. Ш. Правовое регулирование экономических отношений в современных условиях развития цифровой экономики.:монография. - Москва: Юстицинформ, 2019. - 370</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Единая</w:t>
            </w:r>
            <w:r>
              <w:rPr/>
              <w:t xml:space="preserve"> </w:t>
            </w:r>
            <w:r>
              <w:rPr>
                <w:rFonts w:ascii="Times New Roman" w:hAnsi="Times New Roman" w:cs="Times New Roman"/>
                <w:b/>
                <w:color w:val="#000000"/>
                <w:sz w:val="24"/>
                <w:szCs w:val="24"/>
              </w:rPr>
              <w:t>информационная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государственных</w:t>
            </w:r>
            <w:r>
              <w:rPr/>
              <w:t xml:space="preserve"> </w:t>
            </w:r>
            <w:r>
              <w:rPr>
                <w:rFonts w:ascii="Times New Roman" w:hAnsi="Times New Roman" w:cs="Times New Roman"/>
                <w:b/>
                <w:color w:val="#000000"/>
                <w:sz w:val="24"/>
                <w:szCs w:val="24"/>
              </w:rPr>
              <w:t>закупок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http://zakupki.gov.ru</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Управления</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антимонопольной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Свердловской</w:t>
            </w:r>
            <w:r>
              <w:rPr/>
              <w:t xml:space="preserve"> </w:t>
            </w:r>
            <w:r>
              <w:rPr>
                <w:rFonts w:ascii="Times New Roman" w:hAnsi="Times New Roman" w:cs="Times New Roman"/>
                <w:b/>
                <w:color w:val="#000000"/>
                <w:sz w:val="24"/>
                <w:szCs w:val="24"/>
              </w:rPr>
              <w:t>области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https://sverdlovsk.fas.gov.ru/</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антимонопольной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https://fas.gov.ru/</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госкомстата</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http://www.gks.ru/</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общественного</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портала</w:t>
            </w:r>
            <w:r>
              <w:rPr/>
              <w:t xml:space="preserve"> </w:t>
            </w:r>
            <w:r>
              <w:rPr>
                <w:rFonts w:ascii="Times New Roman" w:hAnsi="Times New Roman" w:cs="Times New Roman"/>
                <w:b/>
                <w:color w:val="#000000"/>
                <w:sz w:val="24"/>
                <w:szCs w:val="24"/>
              </w:rPr>
              <w:t>госзакупок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https://www.gov-zakupki.ru/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журнала</w:t>
            </w:r>
            <w:r>
              <w:rPr/>
              <w:t xml:space="preserve"> </w:t>
            </w:r>
            <w:r>
              <w:rPr>
                <w:rFonts w:ascii="Times New Roman" w:hAnsi="Times New Roman" w:cs="Times New Roman"/>
                <w:b/>
                <w:color w:val="#000000"/>
                <w:sz w:val="24"/>
                <w:szCs w:val="24"/>
              </w:rPr>
              <w:t>"Российское</w:t>
            </w:r>
            <w:r>
              <w:rPr/>
              <w:t xml:space="preserve"> </w:t>
            </w:r>
            <w:r>
              <w:rPr>
                <w:rFonts w:ascii="Times New Roman" w:hAnsi="Times New Roman" w:cs="Times New Roman"/>
                <w:b/>
                <w:color w:val="#000000"/>
                <w:sz w:val="24"/>
                <w:szCs w:val="24"/>
              </w:rPr>
              <w:t>конкурентное</w:t>
            </w:r>
            <w:r>
              <w:rPr/>
              <w:t xml:space="preserve"> </w:t>
            </w:r>
            <w:r>
              <w:rPr>
                <w:rFonts w:ascii="Times New Roman" w:hAnsi="Times New Roman" w:cs="Times New Roman"/>
                <w:b/>
                <w:color w:val="#000000"/>
                <w:sz w:val="24"/>
                <w:szCs w:val="24"/>
              </w:rPr>
              <w:t>право</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экономика»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ведущего</w:t>
            </w:r>
            <w:r>
              <w:rPr/>
              <w:t xml:space="preserve"> </w:t>
            </w:r>
            <w:r>
              <w:rPr>
                <w:rFonts w:ascii="Times New Roman" w:hAnsi="Times New Roman" w:cs="Times New Roman"/>
                <w:b/>
                <w:color w:val="#000000"/>
                <w:sz w:val="24"/>
                <w:szCs w:val="24"/>
              </w:rPr>
              <w:t>научно-практического</w:t>
            </w:r>
            <w:r>
              <w:rPr/>
              <w:t xml:space="preserve"> </w:t>
            </w:r>
            <w:r>
              <w:rPr>
                <w:rFonts w:ascii="Times New Roman" w:hAnsi="Times New Roman" w:cs="Times New Roman"/>
                <w:b/>
                <w:color w:val="#000000"/>
                <w:sz w:val="24"/>
                <w:szCs w:val="24"/>
              </w:rPr>
              <w:t>журнала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области</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конкурентного</w:t>
            </w:r>
            <w:r>
              <w:rPr/>
              <w:t xml:space="preserve"> </w:t>
            </w:r>
            <w:r>
              <w:rPr>
                <w:rFonts w:ascii="Times New Roman" w:hAnsi="Times New Roman" w:cs="Times New Roman"/>
                <w:b/>
                <w:color w:val="#000000"/>
                <w:sz w:val="24"/>
                <w:szCs w:val="24"/>
              </w:rPr>
              <w:t>права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антимонопольного</w:t>
            </w:r>
            <w:r>
              <w:rPr/>
              <w:t xml:space="preserve"> </w:t>
            </w:r>
            <w:r>
              <w:rPr>
                <w:rFonts w:ascii="Times New Roman" w:hAnsi="Times New Roman" w:cs="Times New Roman"/>
                <w:b/>
                <w:color w:val="#000000"/>
                <w:sz w:val="24"/>
                <w:szCs w:val="24"/>
              </w:rPr>
              <w:t>регулирования,</w:t>
            </w:r>
            <w:r>
              <w:rPr/>
              <w:t xml:space="preserve"> </w:t>
            </w:r>
            <w:r>
              <w:rPr>
                <w:rFonts w:ascii="Times New Roman" w:hAnsi="Times New Roman" w:cs="Times New Roman"/>
                <w:b/>
                <w:color w:val="#000000"/>
                <w:sz w:val="24"/>
                <w:szCs w:val="24"/>
              </w:rPr>
              <w:t>выпускаемого</w:t>
            </w:r>
            <w:r>
              <w:rPr/>
              <w:t xml:space="preserve"> </w:t>
            </w:r>
            <w:r>
              <w:rPr>
                <w:rFonts w:ascii="Times New Roman" w:hAnsi="Times New Roman" w:cs="Times New Roman"/>
                <w:b/>
                <w:color w:val="#000000"/>
                <w:sz w:val="24"/>
                <w:szCs w:val="24"/>
              </w:rPr>
              <w:t>ФАС</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https://www.dex.ru/rkpie-journal</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М.А.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2021-2022_38_03_01-ЭПиО-2021_очное_plx_Антимонопольное регулирование и организация закупок</dc:title>
  <dc:creator>FastReport.NET</dc:creator>
</cp:coreProperties>
</file>