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520"/>
        <w:gridCol w:w="1599"/>
        <w:gridCol w:w="7088"/>
        <w:gridCol w:w="425"/>
      </w:tblGrid>
      <w:tr>
        <w:trPr>
          <w:trHeight w:hRule="exact" w:val="304.584"/>
        </w:trPr>
        <w:tc>
          <w:tcPr>
            <w:tcW w:w="10221" w:type="dxa"/>
            <w:gridSpan w:val="3"/>
            <w:tcBorders>
</w:tcBorders>
            <w:shd w:val="clear" w:color="#000000" w:fill="#FFFFFF"/>
            <w:vAlign w:val="top"/>
            <w:tcMar>
              <w:left w:w="34" w:type="dxa"/>
              <w:right w:w="34" w:type="dxa"/>
            </w:tcMar>
          </w:tcPr>
          <w:p>
            <w:pPr>
              <w:jc w:val="center"/>
              <w:spacing w:after="0" w:line="240" w:lineRule="auto"/>
              <w:rPr>
                <w:sz w:val="24"/>
                <w:szCs w:val="24"/>
              </w:rPr>
            </w:pPr>
            <w:r>
              <w:rPr>
                <w:rFonts w:ascii="Times New Roman" w:hAnsi="Times New Roman" w:cs="Times New Roman"/>
                <w:b/>
                <w:color w:val="#000000"/>
                <w:sz w:val="24"/>
                <w:szCs w:val="24"/>
              </w:rPr>
              <w:t> Аннотация</w:t>
            </w:r>
          </w:p>
        </w:tc>
        <w:tc>
          <w:tcPr>
            <w:tcW w:w="426" w:type="dxa"/>
          </w:tcPr>
          <w:p/>
        </w:tc>
      </w:tr>
      <w:tr>
        <w:trPr>
          <w:trHeight w:hRule="exact" w:val="369.999"/>
        </w:trPr>
        <w:tc>
          <w:tcPr>
            <w:tcW w:w="10221" w:type="dxa"/>
            <w:gridSpan w:val="3"/>
            <w:tcBorders>
</w:tcBorders>
            <w:shd w:val="clear" w:color="#000000" w:fill="#FFFFFF"/>
            <w:vAlign w:val="top"/>
            <w:tcMar>
              <w:left w:w="34" w:type="dxa"/>
              <w:right w:w="34" w:type="dxa"/>
            </w:tcMar>
          </w:tcPr>
          <w:p>
            <w:pPr>
              <w:jc w:val="center"/>
              <w:spacing w:after="0" w:line="240" w:lineRule="auto"/>
              <w:rPr>
                <w:sz w:val="24"/>
                <w:szCs w:val="24"/>
              </w:rPr>
            </w:pPr>
            <w:r>
              <w:rPr>
                <w:rFonts w:ascii="Times New Roman" w:hAnsi="Times New Roman" w:cs="Times New Roman"/>
                <w:b/>
                <w:color w:val="#000000"/>
                <w:sz w:val="24"/>
                <w:szCs w:val="24"/>
              </w:rPr>
              <w:t> Рабочей программы дисциплины</w:t>
            </w:r>
          </w:p>
        </w:tc>
        <w:tc>
          <w:tcPr>
            <w:tcW w:w="426" w:type="dxa"/>
          </w:tcPr>
          <w:p/>
        </w:tc>
      </w:tr>
      <w:tr>
        <w:trPr>
          <w:trHeight w:hRule="exact" w:val="490.245"/>
        </w:trPr>
        <w:tc>
          <w:tcPr>
            <w:tcW w:w="1521" w:type="dxa"/>
          </w:tcPr>
          <w:p/>
        </w:tc>
        <w:tc>
          <w:tcPr>
            <w:tcW w:w="1600" w:type="dxa"/>
          </w:tcPr>
          <w:p/>
        </w:tc>
        <w:tc>
          <w:tcPr>
            <w:tcW w:w="7089" w:type="dxa"/>
          </w:tcPr>
          <w:p/>
        </w:tc>
        <w:tc>
          <w:tcPr>
            <w:tcW w:w="426" w:type="dxa"/>
          </w:tcPr>
          <w:p/>
        </w:tc>
      </w:tr>
      <w:tr>
        <w:trPr>
          <w:trHeight w:hRule="exact" w:val="285.18"/>
        </w:trPr>
        <w:tc>
          <w:tcPr>
            <w:tcW w:w="10646.25" w:type="dxa"/>
            <w:gridSpan w:val="4"/>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Кафедра</w:t>
            </w:r>
            <w:r>
              <w:rPr/>
              <w:t xml:space="preserve"> </w:t>
            </w:r>
            <w:r>
              <w:rPr>
                <w:rFonts w:ascii="Times New Roman" w:hAnsi="Times New Roman" w:cs="Times New Roman"/>
                <w:color w:val="#000000"/>
                <w:sz w:val="24"/>
                <w:szCs w:val="24"/>
              </w:rPr>
              <w:t>финансов,</w:t>
            </w:r>
            <w:r>
              <w:rPr/>
              <w:t xml:space="preserve"> </w:t>
            </w:r>
            <w:r>
              <w:rPr>
                <w:rFonts w:ascii="Times New Roman" w:hAnsi="Times New Roman" w:cs="Times New Roman"/>
                <w:color w:val="#000000"/>
                <w:sz w:val="24"/>
                <w:szCs w:val="24"/>
              </w:rPr>
              <w:t>денежного</w:t>
            </w:r>
            <w:r>
              <w:rPr/>
              <w:t xml:space="preserve"> </w:t>
            </w:r>
            <w:r>
              <w:rPr>
                <w:rFonts w:ascii="Times New Roman" w:hAnsi="Times New Roman" w:cs="Times New Roman"/>
                <w:color w:val="#000000"/>
                <w:sz w:val="24"/>
                <w:szCs w:val="24"/>
              </w:rPr>
              <w:t>обращения</w:t>
            </w:r>
            <w:r>
              <w:rPr/>
              <w:t xml:space="preserve"> </w:t>
            </w:r>
            <w:r>
              <w:rPr>
                <w:rFonts w:ascii="Times New Roman" w:hAnsi="Times New Roman" w:cs="Times New Roman"/>
                <w:color w:val="#000000"/>
                <w:sz w:val="24"/>
                <w:szCs w:val="24"/>
              </w:rPr>
              <w:t>и</w:t>
            </w:r>
            <w:r>
              <w:rPr/>
              <w:t xml:space="preserve"> </w:t>
            </w:r>
            <w:r>
              <w:rPr>
                <w:rFonts w:ascii="Times New Roman" w:hAnsi="Times New Roman" w:cs="Times New Roman"/>
                <w:color w:val="#000000"/>
                <w:sz w:val="24"/>
                <w:szCs w:val="24"/>
              </w:rPr>
              <w:t>кредита</w:t>
            </w:r>
            <w:r>
              <w:rPr/>
              <w:t xml:space="preserve"> </w:t>
            </w:r>
          </w:p>
        </w:tc>
      </w:tr>
      <w:tr>
        <w:trPr>
          <w:trHeight w:hRule="exact" w:val="555.66"/>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Дисциплина</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Финансы</w:t>
            </w:r>
            <w:r>
              <w:rPr/>
              <w:t xml:space="preserve"> </w:t>
            </w:r>
          </w:p>
        </w:tc>
      </w:tr>
      <w:tr>
        <w:trPr>
          <w:trHeight w:hRule="exact" w:val="555.66"/>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Направление</w:t>
            </w:r>
            <w:r>
              <w:rPr/>
              <w:t xml:space="preserve"> </w:t>
            </w:r>
            <w:r>
              <w:rPr>
                <w:rFonts w:ascii="Times New Roman" w:hAnsi="Times New Roman" w:cs="Times New Roman"/>
                <w:color w:val="#000000"/>
                <w:sz w:val="24"/>
                <w:szCs w:val="24"/>
              </w:rPr>
              <w:t> подготовки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38.03.01</w:t>
            </w:r>
            <w:r>
              <w:rPr/>
              <w:t xml:space="preserve"> </w:t>
            </w:r>
            <w:r>
              <w:rPr>
                <w:rFonts w:ascii="Times New Roman" w:hAnsi="Times New Roman" w:cs="Times New Roman"/>
                <w:color w:val="#000000"/>
                <w:sz w:val="24"/>
                <w:szCs w:val="24"/>
              </w:rPr>
              <w:t>Экономика</w:t>
            </w:r>
            <w:r>
              <w:rPr/>
              <w:t xml:space="preserve"> </w:t>
            </w:r>
          </w:p>
        </w:tc>
      </w:tr>
      <w:tr>
        <w:trPr>
          <w:trHeight w:hRule="exact" w:val="555.66"/>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Профиль</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Экономика</w:t>
            </w:r>
            <w:r>
              <w:rPr/>
              <w:t xml:space="preserve"> </w:t>
            </w:r>
            <w:r>
              <w:rPr>
                <w:rFonts w:ascii="Times New Roman" w:hAnsi="Times New Roman" w:cs="Times New Roman"/>
                <w:color w:val="#000000"/>
                <w:sz w:val="24"/>
                <w:szCs w:val="24"/>
              </w:rPr>
              <w:t>предприятий</w:t>
            </w:r>
            <w:r>
              <w:rPr/>
              <w:t xml:space="preserve"> </w:t>
            </w:r>
            <w:r>
              <w:rPr>
                <w:rFonts w:ascii="Times New Roman" w:hAnsi="Times New Roman" w:cs="Times New Roman"/>
                <w:color w:val="#000000"/>
                <w:sz w:val="24"/>
                <w:szCs w:val="24"/>
              </w:rPr>
              <w:t>и</w:t>
            </w:r>
            <w:r>
              <w:rPr/>
              <w:t xml:space="preserve"> </w:t>
            </w:r>
            <w:r>
              <w:rPr>
                <w:rFonts w:ascii="Times New Roman" w:hAnsi="Times New Roman" w:cs="Times New Roman"/>
                <w:color w:val="#000000"/>
                <w:sz w:val="24"/>
                <w:szCs w:val="24"/>
              </w:rPr>
              <w:t>организаций</w:t>
            </w:r>
            <w:r>
              <w:rPr/>
              <w:t xml:space="preserve"> </w:t>
            </w:r>
          </w:p>
        </w:tc>
      </w:tr>
      <w:tr>
        <w:trPr>
          <w:trHeight w:hRule="exact" w:val="555.6598"/>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Объем</w:t>
            </w:r>
            <w:r>
              <w:rPr/>
              <w:t xml:space="preserve"> </w:t>
            </w:r>
            <w:r>
              <w:rPr>
                <w:rFonts w:ascii="Times New Roman" w:hAnsi="Times New Roman" w:cs="Times New Roman"/>
                <w:color w:val="#000000"/>
                <w:sz w:val="24"/>
                <w:szCs w:val="24"/>
              </w:rPr>
              <w:t>дисциплины</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4</w:t>
            </w:r>
            <w:r>
              <w:rPr/>
              <w:t xml:space="preserve"> </w:t>
            </w:r>
            <w:r>
              <w:rPr>
                <w:rFonts w:ascii="Times New Roman" w:hAnsi="Times New Roman" w:cs="Times New Roman"/>
                <w:color w:val="#000000"/>
                <w:sz w:val="24"/>
                <w:szCs w:val="24"/>
              </w:rPr>
              <w:t>з.е</w:t>
            </w:r>
            <w:r>
              <w:rPr/>
              <w:t xml:space="preserve"> </w:t>
            </w:r>
          </w:p>
        </w:tc>
      </w:tr>
      <w:tr>
        <w:trPr>
          <w:trHeight w:hRule="exact" w:val="555.6598"/>
        </w:trPr>
        <w:tc>
          <w:tcPr>
            <w:tcW w:w="3133.5" w:type="dxa"/>
            <w:gridSpan w:val="2"/>
            <w:tcBorders>
              <w:top w:val="single" w:sz="8" w:space="0" w:color="#000000"/>
              <w:left w:val="single" w:sz="8" w:space="0" w:color="#000000"/>
              <w:bottom w:val="single" w:sz="8" w:space="0" w:color="#000000"/>
              <w:right w:val="single" w:sz="8" w:space="0" w:color="#000000"/>
            </w:tcBorders>
            <w:shd w:val="clear" w:color="#000000" w:fill="#DCDCDC"/>
            <w:vAlign w:val="top"/>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Формы</w:t>
            </w:r>
            <w:r>
              <w:rPr/>
              <w:t xml:space="preserve"> </w:t>
            </w:r>
            <w:r>
              <w:rPr>
                <w:rFonts w:ascii="Times New Roman" w:hAnsi="Times New Roman" w:cs="Times New Roman"/>
                <w:color w:val="#000000"/>
                <w:sz w:val="24"/>
                <w:szCs w:val="24"/>
              </w:rPr>
              <w:t>промежуточной</w:t>
            </w:r>
            <w:r>
              <w:rPr/>
              <w:t xml:space="preserve"> </w:t>
            </w:r>
            <w:r>
              <w:rPr>
                <w:rFonts w:ascii="Times New Roman" w:hAnsi="Times New Roman" w:cs="Times New Roman"/>
                <w:color w:val="#000000"/>
                <w:sz w:val="24"/>
                <w:szCs w:val="24"/>
              </w:rPr>
              <w:t>аттестации</w:t>
            </w:r>
            <w:r>
              <w:rPr/>
              <w:t xml:space="preserve"> </w:t>
            </w:r>
          </w:p>
        </w:tc>
        <w:tc>
          <w:tcPr>
            <w:tcW w:w="7527.75"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left"/>
              <w:spacing w:after="0" w:line="240" w:lineRule="auto"/>
              <w:rPr>
                <w:sz w:val="19"/>
                <w:szCs w:val="19"/>
              </w:rPr>
            </w:pPr>
            <w:r>
              <w:rPr>
                <w:rFonts w:ascii="Times New Roman" w:hAnsi="Times New Roman" w:cs="Times New Roman"/>
                <w:color w:val="#000000"/>
                <w:sz w:val="19"/>
                <w:szCs w:val="19"/>
              </w:rPr>
              <w:t> Экзамен</w:t>
            </w:r>
          </w:p>
        </w:tc>
      </w:tr>
      <w:tr>
        <w:trPr>
          <w:trHeight w:hRule="exact" w:val="288.4139"/>
        </w:trPr>
        <w:tc>
          <w:tcPr>
            <w:tcW w:w="10788" w:type="dxa"/>
            <w:gridSpan w:val="4"/>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Краткое</w:t>
            </w:r>
            <w:r>
              <w:rPr/>
              <w:t xml:space="preserve"> </w:t>
            </w:r>
            <w:r>
              <w:rPr>
                <w:rFonts w:ascii="Times New Roman" w:hAnsi="Times New Roman" w:cs="Times New Roman"/>
                <w:b/>
                <w:color w:val="#000000"/>
                <w:sz w:val="24"/>
                <w:szCs w:val="24"/>
              </w:rPr>
              <w:t>содержание</w:t>
            </w:r>
            <w:r>
              <w:rPr/>
              <w:t xml:space="preserve"> </w:t>
            </w:r>
            <w:r>
              <w:rPr>
                <w:rFonts w:ascii="Times New Roman" w:hAnsi="Times New Roman" w:cs="Times New Roman"/>
                <w:b/>
                <w:color w:val="#000000"/>
                <w:sz w:val="24"/>
                <w:szCs w:val="24"/>
              </w:rPr>
              <w:t>дисциплины</w:t>
            </w:r>
            <w:r>
              <w:rPr/>
              <w:t xml:space="preserve"> </w:t>
            </w:r>
            <w:r>
              <w:rPr>
                <w:rFonts w:ascii="Times New Roman" w:hAnsi="Times New Roman" w:cs="Times New Roman"/>
                <w:b/>
                <w:color w:val="#000000"/>
                <w:sz w:val="24"/>
                <w:szCs w:val="24"/>
              </w:rPr>
              <w:t> </w:t>
            </w:r>
            <w:r>
              <w:rPr/>
              <w:t xml:space="preserve"> </w:t>
            </w:r>
          </w:p>
        </w:tc>
      </w:tr>
      <w:tr>
        <w:trPr>
          <w:trHeight w:hRule="exact" w:val="1179.23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18"/>
                <w:szCs w:val="18"/>
              </w:rPr>
            </w:pPr>
            <w:r>
              <w:rPr>
                <w:rFonts w:ascii="Times New Roman" w:hAnsi="Times New Roman" w:cs="Times New Roman"/>
                <w:color w:val="#000000"/>
                <w:sz w:val="18"/>
                <w:szCs w:val="18"/>
              </w:rPr>
              <w:t> Тема</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18"/>
                <w:szCs w:val="18"/>
              </w:rPr>
            </w:pPr>
            <w:r>
              <w:rPr>
                <w:rFonts w:ascii="Times New Roman" w:hAnsi="Times New Roman" w:cs="Times New Roman"/>
                <w:color w:val="#000000"/>
                <w:sz w:val="18"/>
                <w:szCs w:val="18"/>
              </w:rPr>
              <w:t> Наименование темы</w:t>
            </w:r>
          </w:p>
        </w:tc>
      </w:tr>
      <w:tr>
        <w:trPr>
          <w:trHeight w:hRule="exact" w:val="333.9836"/>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1.</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Сущность и функции финансов</w:t>
            </w:r>
          </w:p>
        </w:tc>
      </w:tr>
      <w:tr>
        <w:trPr>
          <w:trHeight w:hRule="exact" w:val="333.98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2.</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Система финансов</w:t>
            </w:r>
          </w:p>
        </w:tc>
      </w:tr>
      <w:tr>
        <w:trPr>
          <w:trHeight w:hRule="exact" w:val="333.98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3.</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Бюджет и бюджетная система</w:t>
            </w:r>
          </w:p>
        </w:tc>
      </w:tr>
      <w:tr>
        <w:trPr>
          <w:trHeight w:hRule="exact" w:val="333.98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4.</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Доходы и расходы бюджета</w:t>
            </w:r>
          </w:p>
        </w:tc>
      </w:tr>
      <w:tr>
        <w:trPr>
          <w:trHeight w:hRule="exact" w:val="333.98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5.</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Налоги и налоговая система.</w:t>
            </w:r>
          </w:p>
        </w:tc>
      </w:tr>
      <w:tr>
        <w:trPr>
          <w:trHeight w:hRule="exact" w:val="333.984"/>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6.</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Дефицит бюджета</w:t>
            </w:r>
          </w:p>
        </w:tc>
      </w:tr>
      <w:tr>
        <w:trPr>
          <w:trHeight w:hRule="exact" w:val="333.9836"/>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7.</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Государственный и муниципальный долг</w:t>
            </w:r>
          </w:p>
        </w:tc>
      </w:tr>
      <w:tr>
        <w:trPr>
          <w:trHeight w:hRule="exact" w:val="333.9845"/>
        </w:trPr>
        <w:tc>
          <w:tcPr>
            <w:tcW w:w="1534.95" w:type="dxa"/>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center"/>
              <w:spacing w:after="0" w:line="240" w:lineRule="auto"/>
              <w:rPr>
                <w:sz w:val="24"/>
                <w:szCs w:val="24"/>
              </w:rPr>
            </w:pPr>
            <w:r>
              <w:rPr>
                <w:rFonts w:ascii="Times New Roman" w:hAnsi="Times New Roman" w:cs="Times New Roman"/>
                <w:color w:val="#000000"/>
                <w:sz w:val="24"/>
                <w:szCs w:val="24"/>
              </w:rPr>
              <w:t> Тема 8.</w:t>
            </w:r>
          </w:p>
        </w:tc>
        <w:tc>
          <w:tcPr>
            <w:tcW w:w="9183.449"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tcMar>
              <w:left w:w="34" w:type="dxa"/>
              <w:right w:w="34" w:type="dxa"/>
            </w:tcMar>
          </w:tcPr>
          <w:p>
            <w:pPr>
              <w:jc w:val="both"/>
              <w:spacing w:after="0" w:line="240" w:lineRule="auto"/>
              <w:rPr>
                <w:sz w:val="24"/>
                <w:szCs w:val="24"/>
              </w:rPr>
            </w:pPr>
            <w:r>
              <w:rPr>
                <w:rFonts w:ascii="Times New Roman" w:hAnsi="Times New Roman" w:cs="Times New Roman"/>
                <w:color w:val="#000000"/>
                <w:sz w:val="24"/>
                <w:szCs w:val="24"/>
              </w:rPr>
              <w:t> Внебюджетные фонды государства</w:t>
            </w:r>
          </w:p>
        </w:tc>
      </w:tr>
      <w:tr>
        <w:trPr>
          <w:trHeight w:hRule="exact" w:val="184.632"/>
        </w:trPr>
        <w:tc>
          <w:tcPr>
            <w:tcW w:w="1521" w:type="dxa"/>
          </w:tcPr>
          <w:p/>
        </w:tc>
        <w:tc>
          <w:tcPr>
            <w:tcW w:w="1600" w:type="dxa"/>
          </w:tcPr>
          <w:p/>
        </w:tc>
        <w:tc>
          <w:tcPr>
            <w:tcW w:w="7089" w:type="dxa"/>
          </w:tcPr>
          <w:p/>
        </w:tc>
        <w:tc>
          <w:tcPr>
            <w:tcW w:w="426" w:type="dxa"/>
          </w:tcPr>
          <w:p/>
        </w:tc>
      </w:tr>
      <w:tr>
        <w:trPr>
          <w:trHeight w:hRule="exact" w:val="285.1804"/>
        </w:trPr>
        <w:tc>
          <w:tcPr>
            <w:tcW w:w="10788" w:type="dxa"/>
            <w:gridSpan w:val="4"/>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Список</w:t>
            </w:r>
            <w:r>
              <w:rPr/>
              <w:t xml:space="preserve"> </w:t>
            </w:r>
            <w:r>
              <w:rPr>
                <w:rFonts w:ascii="Times New Roman" w:hAnsi="Times New Roman" w:cs="Times New Roman"/>
                <w:b/>
                <w:color w:val="#000000"/>
                <w:sz w:val="24"/>
                <w:szCs w:val="24"/>
              </w:rPr>
              <w:t>литературы </w:t>
            </w:r>
            <w:r>
              <w:rPr/>
              <w:t xml:space="preserve"> </w:t>
            </w:r>
          </w:p>
        </w:tc>
      </w:tr>
      <w:tr>
        <w:trPr>
          <w:trHeight w:hRule="exact" w:val="196.9804"/>
        </w:trPr>
        <w:tc>
          <w:tcPr>
            <w:tcW w:w="1521" w:type="dxa"/>
          </w:tcPr>
          <w:p/>
        </w:tc>
        <w:tc>
          <w:tcPr>
            <w:tcW w:w="1600" w:type="dxa"/>
          </w:tcPr>
          <w:p/>
        </w:tc>
        <w:tc>
          <w:tcPr>
            <w:tcW w:w="7089" w:type="dxa"/>
          </w:tcPr>
          <w:p/>
        </w:tc>
        <w:tc>
          <w:tcPr>
            <w:tcW w:w="426" w:type="dxa"/>
          </w:tcPr>
          <w:p/>
        </w:tc>
      </w:tr>
      <w:tr>
        <w:trPr>
          <w:trHeight w:hRule="exact" w:val="285.1804"/>
        </w:trPr>
        <w:tc>
          <w:tcPr>
            <w:tcW w:w="10788" w:type="dxa"/>
            <w:gridSpan w:val="4"/>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Основная литература:</w:t>
            </w:r>
          </w:p>
        </w:tc>
      </w:tr>
      <w:tr>
        <w:trPr>
          <w:trHeight w:hRule="exact" w:val="818.7892"/>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 Берзон Н. И., Теплова Т. В., Аршавский А. Ю., Петрикова И. В., Григорьева Т. И., Голованова Н. В., Герасимова Ю. В. Финансы. [Электронный ресурс]:Учебник и практикум для вузов. - Москва: Юрайт, 2020. - 498 – Режим доступа: https://urait.ru/bcode/449778</w:t>
            </w:r>
          </w:p>
        </w:tc>
      </w:tr>
      <w:tr>
        <w:trPr>
          <w:trHeight w:hRule="exact" w:val="1096.473"/>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2. Алиев У. И., Ахмедов Ф. Н., Блохина Т. К., Быстряков А. Я., Голодова Ж. Г., Дыдыкин А. В., Карпенко О. А., Карпова Д. П., Морозова Е. А., Пилипенко О. И. Финансы, денежное обращение и кредит. [Электронный ресурс]:Учебник для вузов. - Москва: Юрайт, 2020. - 434 – Режим доступа: https://urait.ru/bcode/466287</w:t>
            </w:r>
          </w:p>
        </w:tc>
      </w:tr>
      <w:tr>
        <w:trPr>
          <w:trHeight w:hRule="exact" w:val="1096.473"/>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3. Долганова Ю. С., Долганова Ю. С. Бюджетная система Российской Федерации [Электронный ресурс]:учебник для обучающихся вузов по направлениям подготовки УГСН 38.00.00 "Экономика и управление". - Екатеринбург: Издательство Уральского университета, 2019. - 354 – Режим доступа: http://lib.usue.ru/resource/limit/ump/20/p492570.pdf</w:t>
            </w:r>
          </w:p>
        </w:tc>
      </w:tr>
      <w:tr>
        <w:trPr>
          <w:trHeight w:hRule="exact" w:val="1096.473"/>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4. Долганова Ю. С. Финансы [Электронный ресурс]:учебник для обучающихся в вузах по направлениям подготовки УГСН 38.00.00 "Экономика и управление". - Екатеринбург: Издательство Уральского университета, 2019. - 335 – Режим доступа: http://lib.usue.ru/resource/limit/ump/20/p492905.pdf</w:t>
            </w:r>
          </w:p>
        </w:tc>
      </w:tr>
      <w:tr>
        <w:trPr>
          <w:trHeight w:hRule="exact" w:val="424.0955"/>
        </w:trPr>
        <w:tc>
          <w:tcPr>
            <w:tcW w:w="10788" w:type="dxa"/>
            <w:gridSpan w:val="4"/>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Дополнительная литература:</w:t>
            </w:r>
          </w:p>
        </w:tc>
      </w:tr>
      <w:tr>
        <w:trPr>
          <w:trHeight w:hRule="exact" w:val="818.7902"/>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1. Асмолова М.Л. Финансы для нефинансистов. [Электронный ресурс]:Учебник. - Москва: Издательский Центр РИОР, 2014. - 147 с. – Режим доступа: https://znanium.com/catalog/product/421476</w:t>
            </w:r>
          </w:p>
        </w:tc>
      </w:tr>
      <w:tr>
        <w:trPr>
          <w:trHeight w:hRule="exact" w:val="555.6607"/>
        </w:trPr>
        <w:tc>
          <w:tcPr>
            <w:tcW w:w="10788" w:type="dxa"/>
            <w:gridSpan w:val="4"/>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2. Слепов В.А., Арсланов А.Ф. Финансы [Электронный ресурс]:Учебник. - Москва: Издательство "Магистр", 2020. - 336 – Режим доступа: https://znanium.com/catalog/product/1048794</w:t>
            </w:r>
          </w:p>
        </w:tc>
      </w:tr>
    </w:tbl>
    <w:p>
      <w:pPr>
        <w:rPr>
          <w:sz w:val="0"/>
          <w:szCs w:val="0"/>
        </w:rPr>
      </w:pPr>
      <w:r>
        <w:br w:type="page"/>
      </w:r>
    </w:p>
    <w:tbl>
      <w:tblPr>
        <w:tblW w:w="0" w:type="auto"/>
        <w:tblCellMar>
          <w:left w:w="0" w:type="dxa"/>
          <w:right w:w="0" w:type="dxa"/>
        </w:tblCellMar>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0773"/>
      </w:tblGrid>
      <w:tr>
        <w:trPr>
          <w:trHeight w:hRule="exact" w:val="555.66"/>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 	3. Брусов П. Н., Филатова Т. В. Современные корпоративные финансы и инвестиции:монография. - Москва: КноРус, 2019. - 517</w:t>
            </w:r>
          </w:p>
        </w:tc>
      </w:tr>
      <w:tr>
        <w:trPr>
          <w:trHeight w:hRule="exact" w:val="277.83"/>
        </w:trPr>
        <w:tc>
          <w:tcPr>
            <w:tcW w:w="10774" w:type="dxa"/>
          </w:tcPr>
          <w:p/>
        </w:tc>
      </w:tr>
      <w:tr>
        <w:trPr>
          <w:trHeight w:hRule="exact" w:val="826.14"/>
        </w:trPr>
        <w:tc>
          <w:tcPr>
            <w:tcW w:w="10788" w:type="dxa"/>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b/>
                <w:color w:val="#000000"/>
                <w:sz w:val="24"/>
                <w:szCs w:val="24"/>
              </w:rPr>
              <w:t>Перечень</w:t>
            </w:r>
            <w:r>
              <w:rPr/>
              <w:t xml:space="preserve"> </w:t>
            </w:r>
            <w:r>
              <w:rPr>
                <w:rFonts w:ascii="Times New Roman" w:hAnsi="Times New Roman" w:cs="Times New Roman"/>
                <w:b/>
                <w:color w:val="#000000"/>
                <w:sz w:val="24"/>
                <w:szCs w:val="24"/>
              </w:rPr>
              <w:t>информационных</w:t>
            </w:r>
            <w:r>
              <w:rPr/>
              <w:t xml:space="preserve"> </w:t>
            </w:r>
            <w:r>
              <w:rPr>
                <w:rFonts w:ascii="Times New Roman" w:hAnsi="Times New Roman" w:cs="Times New Roman"/>
                <w:b/>
                <w:color w:val="#000000"/>
                <w:sz w:val="24"/>
                <w:szCs w:val="24"/>
              </w:rPr>
              <w:t>технологий,</w:t>
            </w:r>
            <w:r>
              <w:rPr/>
              <w:t xml:space="preserve"> </w:t>
            </w:r>
            <w:r>
              <w:rPr>
                <w:rFonts w:ascii="Times New Roman" w:hAnsi="Times New Roman" w:cs="Times New Roman"/>
                <w:b/>
                <w:color w:val="#000000"/>
                <w:sz w:val="24"/>
                <w:szCs w:val="24"/>
              </w:rPr>
              <w:t>включая</w:t>
            </w:r>
            <w:r>
              <w:rPr/>
              <w:t xml:space="preserve"> </w:t>
            </w:r>
            <w:r>
              <w:rPr>
                <w:rFonts w:ascii="Times New Roman" w:hAnsi="Times New Roman" w:cs="Times New Roman"/>
                <w:b/>
                <w:color w:val="#000000"/>
                <w:sz w:val="24"/>
                <w:szCs w:val="24"/>
              </w:rPr>
              <w:t>перечень</w:t>
            </w:r>
            <w:r>
              <w:rPr/>
              <w:t xml:space="preserve"> </w:t>
            </w:r>
            <w:r>
              <w:rPr>
                <w:rFonts w:ascii="Times New Roman" w:hAnsi="Times New Roman" w:cs="Times New Roman"/>
                <w:b/>
                <w:color w:val="#000000"/>
                <w:sz w:val="24"/>
                <w:szCs w:val="24"/>
              </w:rPr>
              <w:t>лицензионного</w:t>
            </w:r>
            <w:r>
              <w:rPr/>
              <w:t xml:space="preserve"> </w:t>
            </w:r>
            <w:r>
              <w:rPr>
                <w:rFonts w:ascii="Times New Roman" w:hAnsi="Times New Roman" w:cs="Times New Roman"/>
                <w:b/>
                <w:color w:val="#000000"/>
                <w:sz w:val="24"/>
                <w:szCs w:val="24"/>
              </w:rPr>
              <w:t>программного</w:t>
            </w:r>
            <w:r>
              <w:rPr/>
              <w:t xml:space="preserve"> </w:t>
            </w:r>
            <w:r>
              <w:rPr>
                <w:rFonts w:ascii="Times New Roman" w:hAnsi="Times New Roman" w:cs="Times New Roman"/>
                <w:b/>
                <w:color w:val="#000000"/>
                <w:sz w:val="24"/>
                <w:szCs w:val="24"/>
              </w:rPr>
              <w:t>обеспечения</w:t>
            </w:r>
            <w:r>
              <w:rPr/>
              <w:t xml:space="preserve"> </w:t>
            </w:r>
            <w:r>
              <w:rPr>
                <w:rFonts w:ascii="Times New Roman" w:hAnsi="Times New Roman" w:cs="Times New Roman"/>
                <w:b/>
                <w:color w:val="#000000"/>
                <w:sz w:val="24"/>
                <w:szCs w:val="24"/>
              </w:rPr>
              <w:t>и</w:t>
            </w:r>
            <w:r>
              <w:rPr/>
              <w:t xml:space="preserve"> </w:t>
            </w:r>
            <w:r>
              <w:rPr>
                <w:rFonts w:ascii="Times New Roman" w:hAnsi="Times New Roman" w:cs="Times New Roman"/>
                <w:b/>
                <w:color w:val="#000000"/>
                <w:sz w:val="24"/>
                <w:szCs w:val="24"/>
              </w:rPr>
              <w:t>информационных</w:t>
            </w:r>
            <w:r>
              <w:rPr/>
              <w:t xml:space="preserve"> </w:t>
            </w:r>
            <w:r>
              <w:rPr>
                <w:rFonts w:ascii="Times New Roman" w:hAnsi="Times New Roman" w:cs="Times New Roman"/>
                <w:b/>
                <w:color w:val="#000000"/>
                <w:sz w:val="24"/>
                <w:szCs w:val="24"/>
              </w:rPr>
              <w:t>справочных</w:t>
            </w:r>
            <w:r>
              <w:rPr/>
              <w:t xml:space="preserve"> </w:t>
            </w:r>
            <w:r>
              <w:rPr>
                <w:rFonts w:ascii="Times New Roman" w:hAnsi="Times New Roman" w:cs="Times New Roman"/>
                <w:b/>
                <w:color w:val="#000000"/>
                <w:sz w:val="24"/>
                <w:szCs w:val="24"/>
              </w:rPr>
              <w:t>систем,</w:t>
            </w:r>
            <w:r>
              <w:rPr/>
              <w:t xml:space="preserve"> </w:t>
            </w:r>
            <w:r>
              <w:rPr>
                <w:rFonts w:ascii="Times New Roman" w:hAnsi="Times New Roman" w:cs="Times New Roman"/>
                <w:b/>
                <w:color w:val="#000000"/>
                <w:sz w:val="24"/>
                <w:szCs w:val="24"/>
              </w:rPr>
              <w:t> онлайн</w:t>
            </w:r>
            <w:r>
              <w:rPr/>
              <w:t xml:space="preserve"> </w:t>
            </w:r>
            <w:r>
              <w:rPr>
                <w:rFonts w:ascii="Times New Roman" w:hAnsi="Times New Roman" w:cs="Times New Roman"/>
                <w:b/>
                <w:color w:val="#000000"/>
                <w:sz w:val="24"/>
                <w:szCs w:val="24"/>
              </w:rPr>
              <w:t>курсов,</w:t>
            </w:r>
            <w:r>
              <w:rPr/>
              <w:t xml:space="preserve"> </w:t>
            </w:r>
            <w:r>
              <w:rPr>
                <w:rFonts w:ascii="Times New Roman" w:hAnsi="Times New Roman" w:cs="Times New Roman"/>
                <w:b/>
                <w:color w:val="#000000"/>
                <w:sz w:val="24"/>
                <w:szCs w:val="24"/>
              </w:rPr>
              <w:t>используемых</w:t>
            </w:r>
            <w:r>
              <w:rPr/>
              <w:t xml:space="preserve"> </w:t>
            </w:r>
            <w:r>
              <w:rPr>
                <w:rFonts w:ascii="Times New Roman" w:hAnsi="Times New Roman" w:cs="Times New Roman"/>
                <w:b/>
                <w:color w:val="#000000"/>
                <w:sz w:val="24"/>
                <w:szCs w:val="24"/>
              </w:rPr>
              <w:t>при</w:t>
            </w:r>
            <w:r>
              <w:rPr/>
              <w:t xml:space="preserve"> </w:t>
            </w:r>
            <w:r>
              <w:rPr>
                <w:rFonts w:ascii="Times New Roman" w:hAnsi="Times New Roman" w:cs="Times New Roman"/>
                <w:b/>
                <w:color w:val="#000000"/>
                <w:sz w:val="24"/>
                <w:szCs w:val="24"/>
              </w:rPr>
              <w:t>осуществлении</w:t>
            </w:r>
            <w:r>
              <w:rPr/>
              <w:t xml:space="preserve"> </w:t>
            </w:r>
            <w:r>
              <w:rPr>
                <w:rFonts w:ascii="Times New Roman" w:hAnsi="Times New Roman" w:cs="Times New Roman"/>
                <w:b/>
                <w:color w:val="#000000"/>
                <w:sz w:val="24"/>
                <w:szCs w:val="24"/>
              </w:rPr>
              <w:t>образовательного</w:t>
            </w:r>
            <w:r>
              <w:rPr/>
              <w:t xml:space="preserve"> </w:t>
            </w:r>
            <w:r>
              <w:rPr>
                <w:rFonts w:ascii="Times New Roman" w:hAnsi="Times New Roman" w:cs="Times New Roman"/>
                <w:b/>
                <w:color w:val="#000000"/>
                <w:sz w:val="24"/>
                <w:szCs w:val="24"/>
              </w:rPr>
              <w:t>процесса</w:t>
            </w:r>
            <w:r>
              <w:rPr/>
              <w:t xml:space="preserve"> </w:t>
            </w:r>
            <w:r>
              <w:rPr>
                <w:rFonts w:ascii="Times New Roman" w:hAnsi="Times New Roman" w:cs="Times New Roman"/>
                <w:b/>
                <w:color w:val="#000000"/>
                <w:sz w:val="24"/>
                <w:szCs w:val="24"/>
              </w:rPr>
              <w:t>по</w:t>
            </w:r>
            <w:r>
              <w:rPr/>
              <w:t xml:space="preserve"> </w:t>
            </w:r>
            <w:r>
              <w:rPr>
                <w:rFonts w:ascii="Times New Roman" w:hAnsi="Times New Roman" w:cs="Times New Roman"/>
                <w:b/>
                <w:color w:val="#000000"/>
                <w:sz w:val="24"/>
                <w:szCs w:val="24"/>
              </w:rPr>
              <w:t>дисциплине </w:t>
            </w:r>
            <w:r>
              <w:rPr/>
              <w:t xml:space="preserve"> </w:t>
            </w:r>
          </w:p>
        </w:tc>
      </w:tr>
      <w:tr>
        <w:trPr>
          <w:trHeight w:hRule="exact" w:val="424.0951"/>
        </w:trPr>
        <w:tc>
          <w:tcPr>
            <w:tcW w:w="10788" w:type="dxa"/>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Перечень лицензионного программного обеспечения:</w:t>
            </w:r>
          </w:p>
        </w:tc>
      </w:tr>
      <w:tr>
        <w:trPr>
          <w:trHeight w:hRule="exact" w:val="277.8299"/>
        </w:trPr>
        <w:tc>
          <w:tcPr>
            <w:tcW w:w="10774" w:type="dxa"/>
          </w:tcPr>
          <w:p/>
        </w:tc>
      </w:tr>
      <w:tr>
        <w:trPr>
          <w:trHeight w:hRule="exact" w:val="555.66"/>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Astra</w:t>
            </w:r>
            <w:r>
              <w:rPr/>
              <w:t xml:space="preserve"> </w:t>
            </w:r>
            <w:r>
              <w:rPr>
                <w:rFonts w:ascii="Times New Roman" w:hAnsi="Times New Roman" w:cs="Times New Roman"/>
                <w:color w:val="#000000"/>
                <w:sz w:val="24"/>
                <w:szCs w:val="24"/>
              </w:rPr>
              <w:t>Linux</w:t>
            </w:r>
            <w:r>
              <w:rPr/>
              <w:t xml:space="preserve"> </w:t>
            </w:r>
            <w:r>
              <w:rPr>
                <w:rFonts w:ascii="Times New Roman" w:hAnsi="Times New Roman" w:cs="Times New Roman"/>
                <w:color w:val="#000000"/>
                <w:sz w:val="24"/>
                <w:szCs w:val="24"/>
              </w:rPr>
              <w:t>Common</w:t>
            </w:r>
            <w:r>
              <w:rPr/>
              <w:t xml:space="preserve"> </w:t>
            </w:r>
            <w:r>
              <w:rPr>
                <w:rFonts w:ascii="Times New Roman" w:hAnsi="Times New Roman" w:cs="Times New Roman"/>
                <w:color w:val="#000000"/>
                <w:sz w:val="24"/>
                <w:szCs w:val="24"/>
              </w:rPr>
              <w:t>Edition.</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1</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13</w:t>
            </w:r>
            <w:r>
              <w:rPr/>
              <w:t xml:space="preserve"> </w:t>
            </w:r>
            <w:r>
              <w:rPr>
                <w:rFonts w:ascii="Times New Roman" w:hAnsi="Times New Roman" w:cs="Times New Roman"/>
                <w:color w:val="#000000"/>
                <w:sz w:val="24"/>
                <w:szCs w:val="24"/>
              </w:rPr>
              <w:t>июня</w:t>
            </w:r>
            <w:r>
              <w:rPr/>
              <w:t xml:space="preserve"> </w:t>
            </w:r>
            <w:r>
              <w:rPr>
                <w:rFonts w:ascii="Times New Roman" w:hAnsi="Times New Roman" w:cs="Times New Roman"/>
                <w:color w:val="#000000"/>
                <w:sz w:val="24"/>
                <w:szCs w:val="24"/>
              </w:rPr>
              <w:t>2018,</w:t>
            </w:r>
            <w:r>
              <w:rPr/>
              <w:t xml:space="preserve"> </w:t>
            </w:r>
            <w:r>
              <w:rPr>
                <w:rFonts w:ascii="Times New Roman" w:hAnsi="Times New Roman" w:cs="Times New Roman"/>
                <w:color w:val="#000000"/>
                <w:sz w:val="24"/>
                <w:szCs w:val="24"/>
              </w:rPr>
              <w:t>акт</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17</w:t>
            </w:r>
            <w:r>
              <w:rPr/>
              <w:t xml:space="preserve"> </w:t>
            </w:r>
            <w:r>
              <w:rPr>
                <w:rFonts w:ascii="Times New Roman" w:hAnsi="Times New Roman" w:cs="Times New Roman"/>
                <w:color w:val="#000000"/>
                <w:sz w:val="24"/>
                <w:szCs w:val="24"/>
              </w:rPr>
              <w:t>декабря</w:t>
            </w:r>
            <w:r>
              <w:rPr/>
              <w:t xml:space="preserve"> </w:t>
            </w:r>
            <w:r>
              <w:rPr>
                <w:rFonts w:ascii="Times New Roman" w:hAnsi="Times New Roman" w:cs="Times New Roman"/>
                <w:color w:val="#000000"/>
                <w:sz w:val="24"/>
                <w:szCs w:val="24"/>
              </w:rPr>
              <w:t>2018.</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 </w:t>
            </w:r>
            <w:r>
              <w:rPr/>
              <w:t xml:space="preserve"> </w:t>
            </w:r>
          </w:p>
        </w:tc>
      </w:tr>
      <w:tr>
        <w:trPr>
          <w:trHeight w:hRule="exact" w:val="555.66"/>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МойОфис</w:t>
            </w:r>
            <w:r>
              <w:rPr/>
              <w:t xml:space="preserve"> </w:t>
            </w:r>
            <w:r>
              <w:rPr>
                <w:rFonts w:ascii="Times New Roman" w:hAnsi="Times New Roman" w:cs="Times New Roman"/>
                <w:color w:val="#000000"/>
                <w:sz w:val="24"/>
                <w:szCs w:val="24"/>
              </w:rPr>
              <w:t>стандартный.</w:t>
            </w:r>
            <w:r>
              <w:rPr/>
              <w:t xml:space="preserve"> </w:t>
            </w:r>
            <w:r>
              <w:rPr>
                <w:rFonts w:ascii="Times New Roman" w:hAnsi="Times New Roman" w:cs="Times New Roman"/>
                <w:color w:val="#000000"/>
                <w:sz w:val="24"/>
                <w:szCs w:val="24"/>
              </w:rPr>
              <w:t>Соглашение</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СК-281</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7</w:t>
            </w:r>
            <w:r>
              <w:rPr/>
              <w:t xml:space="preserve"> </w:t>
            </w:r>
            <w:r>
              <w:rPr>
                <w:rFonts w:ascii="Times New Roman" w:hAnsi="Times New Roman" w:cs="Times New Roman"/>
                <w:color w:val="#000000"/>
                <w:sz w:val="24"/>
                <w:szCs w:val="24"/>
              </w:rPr>
              <w:t>июня</w:t>
            </w:r>
            <w:r>
              <w:rPr/>
              <w:t xml:space="preserve"> </w:t>
            </w:r>
            <w:r>
              <w:rPr>
                <w:rFonts w:ascii="Times New Roman" w:hAnsi="Times New Roman" w:cs="Times New Roman"/>
                <w:color w:val="#000000"/>
                <w:sz w:val="24"/>
                <w:szCs w:val="24"/>
              </w:rPr>
              <w:t>2017.</w:t>
            </w:r>
            <w:r>
              <w:rPr/>
              <w:t xml:space="preserve"> </w:t>
            </w:r>
            <w:r>
              <w:rPr>
                <w:rFonts w:ascii="Times New Roman" w:hAnsi="Times New Roman" w:cs="Times New Roman"/>
                <w:color w:val="#000000"/>
                <w:sz w:val="24"/>
                <w:szCs w:val="24"/>
              </w:rPr>
              <w:t>Дата</w:t>
            </w:r>
            <w:r>
              <w:rPr/>
              <w:t xml:space="preserve"> </w:t>
            </w:r>
            <w:r>
              <w:rPr>
                <w:rFonts w:ascii="Times New Roman" w:hAnsi="Times New Roman" w:cs="Times New Roman"/>
                <w:color w:val="#000000"/>
                <w:sz w:val="24"/>
                <w:szCs w:val="24"/>
              </w:rPr>
              <w:t>заключения</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07.06.2017.</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 </w:t>
            </w:r>
            <w:r>
              <w:rPr/>
              <w:t xml:space="preserve"> </w:t>
            </w:r>
          </w:p>
        </w:tc>
      </w:tr>
      <w:tr>
        <w:trPr>
          <w:trHeight w:hRule="exact" w:val="694.575"/>
        </w:trPr>
        <w:tc>
          <w:tcPr>
            <w:tcW w:w="10788" w:type="dxa"/>
            <w:tcBorders>
</w:tcBorders>
            <w:shd w:val="clear" w:color="#000000" w:fill="#FFFFFF"/>
            <w:vAlign w:val="top"/>
            <w:tcMar>
              <w:left w:w="34" w:type="dxa"/>
              <w:right w:w="34" w:type="dxa"/>
            </w:tcMar>
          </w:tcPr>
          <w:p>
            <w:pPr>
              <w:jc w:val="both"/>
              <w:spacing w:after="0" w:line="240" w:lineRule="auto"/>
              <w:rPr>
                <w:sz w:val="24"/>
                <w:szCs w:val="24"/>
              </w:rPr>
            </w:pPr>
            <w:r>
              <w:rPr>
                <w:rFonts w:ascii="Times New Roman" w:hAnsi="Times New Roman" w:cs="Times New Roman"/>
                <w:b/>
                <w:color w:val="#000000"/>
                <w:sz w:val="24"/>
                <w:szCs w:val="24"/>
              </w:rPr>
              <w:t> Перечень информационных справочных систем, ресурсов информационно- телекоммуникационной сети «Интернет»:</w:t>
            </w:r>
          </w:p>
        </w:tc>
      </w:tr>
      <w:tr>
        <w:trPr>
          <w:trHeight w:hRule="exact" w:val="1096.473"/>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Справочно-правовая</w:t>
            </w:r>
            <w:r>
              <w:rPr/>
              <w:t xml:space="preserve"> </w:t>
            </w:r>
            <w:r>
              <w:rPr>
                <w:rFonts w:ascii="Times New Roman" w:hAnsi="Times New Roman" w:cs="Times New Roman"/>
                <w:color w:val="#000000"/>
                <w:sz w:val="24"/>
                <w:szCs w:val="24"/>
              </w:rPr>
              <w:t>система</w:t>
            </w:r>
            <w:r>
              <w:rPr/>
              <w:t xml:space="preserve"> </w:t>
            </w:r>
            <w:r>
              <w:rPr>
                <w:rFonts w:ascii="Times New Roman" w:hAnsi="Times New Roman" w:cs="Times New Roman"/>
                <w:color w:val="#000000"/>
                <w:sz w:val="24"/>
                <w:szCs w:val="24"/>
              </w:rPr>
              <w:t>Консультант</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163/223-У/2020</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14.12.2020.</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до</w:t>
            </w:r>
            <w:r>
              <w:rPr/>
              <w:t xml:space="preserve"> </w:t>
            </w:r>
            <w:r>
              <w:rPr>
                <w:rFonts w:ascii="Times New Roman" w:hAnsi="Times New Roman" w:cs="Times New Roman"/>
                <w:color w:val="#000000"/>
                <w:sz w:val="24"/>
                <w:szCs w:val="24"/>
              </w:rPr>
              <w:t>31.12.2021</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tc>
      </w:tr>
      <w:tr>
        <w:trPr>
          <w:trHeight w:hRule="exact" w:val="826.1402"/>
        </w:trPr>
        <w:tc>
          <w:tcPr>
            <w:tcW w:w="10788" w:type="dxa"/>
            <w:tcBorders>
</w:tcBorders>
            <w:shd w:val="clear" w:color="#000000" w:fill="#FFFFFF"/>
            <w:vAlign w:val="top"/>
            <w:tcMar>
              <w:left w:w="34" w:type="dxa"/>
              <w:right w:w="34" w:type="dxa"/>
            </w:tcMar>
          </w:tcPr>
          <w:p>
            <w:pPr>
              <w:jc w:val="both"/>
              <w:ind w:firstLine="756"/>
              <w:spacing w:after="0" w:line="240" w:lineRule="auto"/>
              <w:rPr>
                <w:sz w:val="24"/>
                <w:szCs w:val="24"/>
              </w:rPr>
            </w:pPr>
            <w:r>
              <w:rPr>
                <w:rFonts w:ascii="Times New Roman" w:hAnsi="Times New Roman" w:cs="Times New Roman"/>
                <w:color w:val="#000000"/>
                <w:sz w:val="24"/>
                <w:szCs w:val="24"/>
              </w:rPr>
              <w:t>Справочно-правовая</w:t>
            </w:r>
            <w:r>
              <w:rPr/>
              <w:t xml:space="preserve"> </w:t>
            </w:r>
            <w:r>
              <w:rPr>
                <w:rFonts w:ascii="Times New Roman" w:hAnsi="Times New Roman" w:cs="Times New Roman"/>
                <w:color w:val="#000000"/>
                <w:sz w:val="24"/>
                <w:szCs w:val="24"/>
              </w:rPr>
              <w:t>система</w:t>
            </w:r>
            <w:r>
              <w:rPr/>
              <w:t xml:space="preserve"> </w:t>
            </w:r>
            <w:r>
              <w:rPr>
                <w:rFonts w:ascii="Times New Roman" w:hAnsi="Times New Roman" w:cs="Times New Roman"/>
                <w:color w:val="#000000"/>
                <w:sz w:val="24"/>
                <w:szCs w:val="24"/>
              </w:rPr>
              <w:t>Гарант.</w:t>
            </w:r>
            <w:r>
              <w:rPr/>
              <w:t xml:space="preserve"> </w:t>
            </w:r>
            <w:r>
              <w:rPr>
                <w:rFonts w:ascii="Times New Roman" w:hAnsi="Times New Roman" w:cs="Times New Roman"/>
                <w:color w:val="#000000"/>
                <w:sz w:val="24"/>
                <w:szCs w:val="24"/>
              </w:rPr>
              <w:t>Договор</w:t>
            </w:r>
            <w:r>
              <w:rPr/>
              <w:t xml:space="preserve"> </w:t>
            </w:r>
            <w:r>
              <w:rPr>
                <w:rFonts w:ascii="Times New Roman" w:hAnsi="Times New Roman" w:cs="Times New Roman"/>
                <w:color w:val="#000000"/>
                <w:sz w:val="24"/>
                <w:szCs w:val="24"/>
              </w:rPr>
              <w:t>№</w:t>
            </w:r>
            <w:r>
              <w:rPr/>
              <w:t xml:space="preserve"> </w:t>
            </w:r>
            <w:r>
              <w:rPr>
                <w:rFonts w:ascii="Times New Roman" w:hAnsi="Times New Roman" w:cs="Times New Roman"/>
                <w:color w:val="#000000"/>
                <w:sz w:val="24"/>
                <w:szCs w:val="24"/>
              </w:rPr>
              <w:t>58419</w:t>
            </w:r>
            <w:r>
              <w:rPr/>
              <w:t xml:space="preserve"> </w:t>
            </w:r>
            <w:r>
              <w:rPr>
                <w:rFonts w:ascii="Times New Roman" w:hAnsi="Times New Roman" w:cs="Times New Roman"/>
                <w:color w:val="#000000"/>
                <w:sz w:val="24"/>
                <w:szCs w:val="24"/>
              </w:rPr>
              <w:t>от</w:t>
            </w:r>
            <w:r>
              <w:rPr/>
              <w:t xml:space="preserve"> </w:t>
            </w:r>
            <w:r>
              <w:rPr>
                <w:rFonts w:ascii="Times New Roman" w:hAnsi="Times New Roman" w:cs="Times New Roman"/>
                <w:color w:val="#000000"/>
                <w:sz w:val="24"/>
                <w:szCs w:val="24"/>
              </w:rPr>
              <w:t>22</w:t>
            </w:r>
            <w:r>
              <w:rPr/>
              <w:t xml:space="preserve"> </w:t>
            </w:r>
            <w:r>
              <w:rPr>
                <w:rFonts w:ascii="Times New Roman" w:hAnsi="Times New Roman" w:cs="Times New Roman"/>
                <w:color w:val="#000000"/>
                <w:sz w:val="24"/>
                <w:szCs w:val="24"/>
              </w:rPr>
              <w:t>декабря</w:t>
            </w:r>
            <w:r>
              <w:rPr/>
              <w:t xml:space="preserve"> </w:t>
            </w:r>
            <w:r>
              <w:rPr>
                <w:rFonts w:ascii="Times New Roman" w:hAnsi="Times New Roman" w:cs="Times New Roman"/>
                <w:color w:val="#000000"/>
                <w:sz w:val="24"/>
                <w:szCs w:val="24"/>
              </w:rPr>
              <w:t>2015.</w:t>
            </w:r>
            <w:r>
              <w:rPr/>
              <w:t xml:space="preserve"> </w:t>
            </w:r>
            <w:r>
              <w:rPr>
                <w:rFonts w:ascii="Times New Roman" w:hAnsi="Times New Roman" w:cs="Times New Roman"/>
                <w:color w:val="#000000"/>
                <w:sz w:val="24"/>
                <w:szCs w:val="24"/>
              </w:rPr>
              <w:t>Срок</w:t>
            </w:r>
            <w:r>
              <w:rPr/>
              <w:t xml:space="preserve"> </w:t>
            </w:r>
            <w:r>
              <w:rPr>
                <w:rFonts w:ascii="Times New Roman" w:hAnsi="Times New Roman" w:cs="Times New Roman"/>
                <w:color w:val="#000000"/>
                <w:sz w:val="24"/>
                <w:szCs w:val="24"/>
              </w:rPr>
              <w:t>действия</w:t>
            </w:r>
            <w:r>
              <w:rPr/>
              <w:t xml:space="preserve"> </w:t>
            </w:r>
            <w:r>
              <w:rPr>
                <w:rFonts w:ascii="Times New Roman" w:hAnsi="Times New Roman" w:cs="Times New Roman"/>
                <w:color w:val="#000000"/>
                <w:sz w:val="24"/>
                <w:szCs w:val="24"/>
              </w:rPr>
              <w:t>лицензии</w:t>
            </w:r>
            <w:r>
              <w:rPr/>
              <w:t xml:space="preserve"> </w:t>
            </w:r>
            <w:r>
              <w:rPr>
                <w:rFonts w:ascii="Times New Roman" w:hAnsi="Times New Roman" w:cs="Times New Roman"/>
                <w:color w:val="#000000"/>
                <w:sz w:val="24"/>
                <w:szCs w:val="24"/>
              </w:rPr>
              <w:t>-без</w:t>
            </w:r>
            <w:r>
              <w:rPr/>
              <w:t xml:space="preserve"> </w:t>
            </w:r>
            <w:r>
              <w:rPr>
                <w:rFonts w:ascii="Times New Roman" w:hAnsi="Times New Roman" w:cs="Times New Roman"/>
                <w:color w:val="#000000"/>
                <w:sz w:val="24"/>
                <w:szCs w:val="24"/>
              </w:rPr>
              <w:t>ограничения</w:t>
            </w:r>
            <w:r>
              <w:rPr/>
              <w:t xml:space="preserve"> </w:t>
            </w:r>
            <w:r>
              <w:rPr>
                <w:rFonts w:ascii="Times New Roman" w:hAnsi="Times New Roman" w:cs="Times New Roman"/>
                <w:color w:val="#000000"/>
                <w:sz w:val="24"/>
                <w:szCs w:val="24"/>
              </w:rPr>
              <w:t>срока</w:t>
            </w:r>
            <w:r>
              <w:rPr/>
              <w:t xml:space="preserve"> </w:t>
            </w:r>
          </w:p>
          <w:p>
            <w:pPr>
              <w:jc w:val="both"/>
              <w:ind w:firstLine="756"/>
              <w:spacing w:after="0" w:line="240" w:lineRule="auto"/>
              <w:rPr>
                <w:sz w:val="24"/>
                <w:szCs w:val="24"/>
              </w:rPr>
            </w:pPr>
            <w:r>
              <w:rPr>
                <w:rFonts w:ascii="Times New Roman" w:hAnsi="Times New Roman" w:cs="Times New Roman"/>
                <w:color w:val="#000000"/>
                <w:sz w:val="24"/>
                <w:szCs w:val="24"/>
              </w:rPr>
              <w:t>	</w:t>
            </w:r>
            <w:r>
              <w:rPr/>
              <w:t xml:space="preserve"> </w:t>
            </w:r>
          </w:p>
        </w:tc>
      </w:tr>
      <w:tr>
        <w:trPr>
          <w:trHeight w:hRule="exact" w:val="424.0951"/>
        </w:trPr>
        <w:tc>
          <w:tcPr>
            <w:tcW w:w="10788" w:type="dxa"/>
            <w:tcBorders>
</w:tcBorders>
            <w:shd w:val="clear" w:color="#000000" w:fill="#FFFFFF"/>
            <w:vAlign w:val="center"/>
            <w:tcMar>
              <w:left w:w="34" w:type="dxa"/>
              <w:right w:w="34" w:type="dxa"/>
            </w:tcMar>
          </w:tcPr>
          <w:p>
            <w:pPr>
              <w:jc w:val="left"/>
              <w:spacing w:after="0" w:line="240" w:lineRule="auto"/>
              <w:rPr>
                <w:sz w:val="24"/>
                <w:szCs w:val="24"/>
              </w:rPr>
            </w:pPr>
            <w:r>
              <w:rPr>
                <w:rFonts w:ascii="Times New Roman" w:hAnsi="Times New Roman" w:cs="Times New Roman"/>
                <w:color w:val="#000000"/>
                <w:sz w:val="24"/>
                <w:szCs w:val="24"/>
              </w:rPr>
              <w:t>Аннотацию</w:t>
            </w:r>
            <w:r>
              <w:rPr/>
              <w:t xml:space="preserve"> </w:t>
            </w:r>
            <w:r>
              <w:rPr>
                <w:rFonts w:ascii="Times New Roman" w:hAnsi="Times New Roman" w:cs="Times New Roman"/>
                <w:color w:val="#000000"/>
                <w:sz w:val="24"/>
                <w:szCs w:val="24"/>
              </w:rPr>
              <w:t>подготовил:</w:t>
            </w:r>
            <w:r>
              <w:rPr/>
              <w:t xml:space="preserve"> </w:t>
            </w:r>
            <w:r>
              <w:rPr>
                <w:rFonts w:ascii="Times New Roman" w:hAnsi="Times New Roman" w:cs="Times New Roman"/>
                <w:color w:val="#000000"/>
                <w:sz w:val="24"/>
                <w:szCs w:val="24"/>
              </w:rPr>
              <w:t>Исакова</w:t>
            </w:r>
            <w:r>
              <w:rPr/>
              <w:t xml:space="preserve"> </w:t>
            </w:r>
            <w:r>
              <w:rPr>
                <w:rFonts w:ascii="Times New Roman" w:hAnsi="Times New Roman" w:cs="Times New Roman"/>
                <w:color w:val="#000000"/>
                <w:sz w:val="24"/>
                <w:szCs w:val="24"/>
              </w:rPr>
              <w:t>Н.Ю.</w:t>
            </w:r>
            <w:r>
              <w:rPr/>
              <w:t xml:space="preserve"> </w:t>
            </w:r>
          </w:p>
        </w:tc>
      </w:tr>
    </w:tbl>
    <w:p/>
    <w:sectPr>
      <w:pgSz w:w="11907" w:h="16840"/>
      <w:pgMar w:top="567" w:right="567" w:bottom="54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E1002A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31453"/>
    <w:rsid w:val="0002418B"/>
    <w:rsid w:val="001F0BC7"/>
    <w:rsid w:val="00D31453"/>
    <w:rsid w:val="00E209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_rels/document.xml.rels><?xml version="1.0" encoding="UTF-8" standalone="yes"?>
<Relationships xmlns="http://schemas.openxmlformats.org/package/2006/relationships">
<Relationship Id="rId1" Type="http://schemas.openxmlformats.org/officeDocument/2006/relationships/settings" Target="settings.xml" />
<Relationship Id="rId2" Type="http://schemas.openxmlformats.org/officeDocument/2006/relationships/styles" Target="styles.xml" />
<Relationship Id="rId3" Type="http://schemas.openxmlformats.org/officeDocument/2006/relationships/fontTable" Target="fontTable.xml" />
</Relationships>

</file>

<file path=docProps/app.xml><?xml version="1.0" encoding="utf-8"?>
<Properties xmlns="http://schemas.openxmlformats.org/officeDocument/2006/extended-properties" xmlns:vt="http://schemas.openxmlformats.org/officeDocument/2006/docPropsVTypes">
  <DocSecurity>0</DocSecurity>
  <ScaleCrop>false</ScaleCrop>
  <HeadingPairs>
    <vt:vector size="2" baseType="variant">
      <vt:variant>
        <vt:lpstr>Worksheets</vt:lpstr>
      </vt:variant>
      <vt:variant>
        <vt:i4>2</vt:i4>
      </vt:variant>
    </vt:vector>
  </HeadingPairs>
  <TitlesOfParts>
    <vt:vector size="1" baseType="lpstr">
      <vt:lpstr>Лист1</vt:lpstr>
    </vt:vector>
  </TitlesOfParts>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2022-2023_38_03_01-ЭПиО-2022_очное_plx_Финансы</dc:title>
  <dc:creator>FastReport.NET</dc:creator>
</cp:coreProperties>
</file>