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38.03.06</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антимонопольного регулирования и его направления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и пресечение монополистической деятельности хозяйствующих субъектов. Недобросовестная конкуренция</w:t>
            </w:r>
          </w:p>
        </w:tc>
      </w:tr>
      <w:tr>
        <w:trPr>
          <w:trHeight w:hRule="exact" w:val="855.540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и пресечение ограничивающих конкуренцию актов, действий, соглашений и согласованных действий органов исполнительной и государственной власти, органов местного самоуправления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Антимонопольные требования к торгам, запросу котировок, запросу предложений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Антимонопольные требования в области торгово- логистической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осуществления закупок для государственных нужд</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государственного контракта</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Башлаков-Николаев И. В., Гаврилов Д. А., Кинев А. Ю., Максимов С. В., Пузыревский С. А., Тенишев А. П. Ответственность за нарушения антимонопольного законодательства: проблемы теории и практики. [Электронный ресурс]:монография. - Москва: Норма: ИНФРА-М, 2019. - 144 – Режим доступа: https://znanium.com/catalog/product/1000468</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Пузыревский С. А., Гаврилов Д. А., Серегин Д. И. Конкурентное право. [Электронный ресурс]:учебник. - Москва: Норма: ИНФРА-М, 2019. - 416 – Режим доступа: https://znanium.com/catalog/product/1020432</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Шишкин М. В. Антимонопольное регулирование. [Электронный ресурс]:Учебник и практикум для вузов. - Москва: Юрайт, 2020. - 143 – Режим доступа: https://urait.ru/bcode/451368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Гафурова Г.Т. Управление государственными (муниципальными) закупками. [Электронный ресурс]:Учебное пособие. - Москва: ООО "Научно-издательский центр ИНФРА-М", 2021. - 331 – Режим доступа: https://znanium.com/catalog/product/1121560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Шакланова Р. И., Юсова В. В. Экономика торговой отрасли. [Электронный ресурс]:учебник для бакалавров : для студентов вузов, обучающихся по экономическим направлениям и специальностям. - Москва: Юрайт, 2019. - 468 – Режим доступа: https://urait.ru/bcode/425898</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Васильев В. П. Государственное регулирование экономики. [Электронный ресурс]:Учебник и практикум для вузов. - Москва: Юрайт, 2020. - 178 – Режим доступа: https://urait.ru/bcode/448296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Марковская Е. И., Луссе А. В., Медведь А. А., Привалов Н. Г., Рагимова Н. С., Радушинский Д. А., Троицкая И. В., Холодкова В. В. GR. Взаимодействие бизнеса и органов власти. [Электронный ресурс]:Учебник и практикум для вузов. - Москва: Юрайт, 2020. - 367 – Режим доступа: https://urait.ru/bcode/449255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Белицкая А. В., Белых В. С., Беляева О. А., Болобонова М. О., Вайпан В. А., Герасимов О. А., Городов О. А., Егорова М. А., Карелина С. А., Касымов Р. Ш. Правовое регулирование экономических отношений в современных условиях развития цифровой экономики.:монография. - Москва: Юстицинформ, 2019. - 370</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Единая</w:t>
            </w:r>
            <w:r>
              <w:rPr/>
              <w:t xml:space="preserve"> </w:t>
            </w:r>
            <w:r>
              <w:rPr>
                <w:rFonts w:ascii="Times New Roman" w:hAnsi="Times New Roman" w:cs="Times New Roman"/>
                <w:b/>
                <w:color w:val="#000000"/>
                <w:sz w:val="24"/>
                <w:szCs w:val="24"/>
              </w:rPr>
              <w:t>информационная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государственных</w:t>
            </w:r>
            <w:r>
              <w:rPr/>
              <w:t xml:space="preserve"> </w:t>
            </w:r>
            <w:r>
              <w:rPr>
                <w:rFonts w:ascii="Times New Roman" w:hAnsi="Times New Roman" w:cs="Times New Roman"/>
                <w:b/>
                <w:color w:val="#000000"/>
                <w:sz w:val="24"/>
                <w:szCs w:val="24"/>
              </w:rPr>
              <w:t>закупок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http://zakupki.gov.ru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антимонопольной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https://fas.gov.ru/</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М.А.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2021-2022_38_03_06-Лог-2021_очное_plx_Основы антимонопольного регулирования</dc:title>
  <dc:creator>FastReport.NET</dc:creator>
</cp:coreProperties>
</file>