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43FEC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Contacts and Organizations in International Business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E02C53" w:rsidRDefault="00E02C5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43FEC" w:rsidRDefault="00843F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Constitutional and International Law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43FEC" w:rsidRPr="00843FEC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Key </w:t>
            </w:r>
            <w:r w:rsidRPr="00843FEC">
              <w:rPr>
                <w:lang w:val="en-US"/>
              </w:rPr>
              <w:t>concepts and sources of the legal institute of international contacts and organizations in international business</w:t>
            </w:r>
          </w:p>
        </w:tc>
      </w:tr>
      <w:tr w:rsidR="00843FEC" w:rsidRPr="00843FEC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Legal status of </w:t>
            </w:r>
            <w:r w:rsidRPr="00843FEC">
              <w:rPr>
                <w:lang w:val="en-US"/>
              </w:rPr>
              <w:t>diplomatic mission</w:t>
            </w:r>
            <w:r>
              <w:rPr>
                <w:lang w:val="en-US"/>
              </w:rPr>
              <w:t>s</w:t>
            </w:r>
            <w:r w:rsidRPr="00843FEC">
              <w:rPr>
                <w:lang w:val="en-US"/>
              </w:rPr>
              <w:t xml:space="preserve"> and its staff</w:t>
            </w:r>
          </w:p>
        </w:tc>
      </w:tr>
      <w:tr w:rsidR="00843FEC" w:rsidRPr="00843FEC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43FEC">
              <w:rPr>
                <w:lang w:val="en-US"/>
              </w:rPr>
              <w:t>Legal status of consular offices and its staff</w:t>
            </w:r>
          </w:p>
        </w:tc>
      </w:tr>
      <w:tr w:rsidR="00843FEC" w:rsidRPr="00843FEC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Legal status of trade </w:t>
            </w:r>
            <w:r w:rsidRPr="00843FEC">
              <w:rPr>
                <w:lang w:val="en-US"/>
              </w:rPr>
              <w:t>and special missions</w:t>
            </w:r>
          </w:p>
        </w:tc>
      </w:tr>
      <w:tr w:rsidR="00843FEC" w:rsidRPr="00843FEC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43FEC">
              <w:rPr>
                <w:lang w:val="en-US"/>
              </w:rPr>
              <w:t>Legal status of international intergovernmental and non-governmental organizations in international business</w:t>
            </w:r>
          </w:p>
        </w:tc>
      </w:tr>
      <w:tr w:rsidR="00843FEC" w:rsidRPr="00843FEC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status of </w:t>
            </w:r>
            <w:r w:rsidRPr="00843FEC">
              <w:rPr>
                <w:lang w:val="en-US"/>
              </w:rPr>
              <w:t>foreign partner and its regulation</w:t>
            </w:r>
            <w:r>
              <w:rPr>
                <w:lang w:val="en-US"/>
              </w:rPr>
              <w:t>s</w:t>
            </w:r>
          </w:p>
        </w:tc>
      </w:tr>
      <w:tr w:rsidR="00843FEC" w:rsidRPr="00843FEC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43FEC">
              <w:rPr>
                <w:lang w:val="en-US"/>
              </w:rPr>
              <w:t>Internation</w:t>
            </w:r>
            <w:r>
              <w:rPr>
                <w:lang w:val="en-US"/>
              </w:rPr>
              <w:t xml:space="preserve">al relations between </w:t>
            </w:r>
            <w:r w:rsidRPr="00843FEC">
              <w:rPr>
                <w:lang w:val="en-US"/>
              </w:rPr>
              <w:t>the Russian Federation</w:t>
            </w:r>
            <w:r>
              <w:rPr>
                <w:lang w:val="en-US"/>
              </w:rPr>
              <w:t xml:space="preserve"> legal entities </w:t>
            </w:r>
          </w:p>
        </w:tc>
      </w:tr>
      <w:tr w:rsidR="00843FEC" w:rsidRPr="00843FEC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43FEC">
              <w:rPr>
                <w:lang w:val="en-US"/>
              </w:rPr>
              <w:t>Contractual relations in international law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843FEC" w:rsidRPr="008A13A6">
        <w:tc>
          <w:tcPr>
            <w:tcW w:w="10490" w:type="dxa"/>
            <w:gridSpan w:val="3"/>
            <w:shd w:val="clear" w:color="auto" w:fill="auto"/>
          </w:tcPr>
          <w:p w:rsidR="00843FEC" w:rsidRPr="00843FEC" w:rsidRDefault="00843FEC" w:rsidP="00843FEC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843FEC">
              <w:rPr>
                <w:b/>
                <w:color w:val="000000"/>
                <w:sz w:val="24"/>
                <w:szCs w:val="24"/>
                <w:lang w:val="en-US"/>
              </w:rPr>
              <w:t xml:space="preserve">Key literature </w:t>
            </w:r>
          </w:p>
          <w:p w:rsidR="00843FEC" w:rsidRPr="002247CE" w:rsidRDefault="00843FEC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2247CE">
              <w:rPr>
                <w:color w:val="000000"/>
                <w:sz w:val="24"/>
                <w:szCs w:val="24"/>
              </w:rPr>
              <w:t xml:space="preserve">1. Капустин А. Я.,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Бордунов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В. Д.,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Гриненко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Е. А., Емельянова Н. Н., Жуков Г. П.,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Каламкарян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Р. А.,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Карташкин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В. А., Копылов М. Н., Копылов С. М., Малеев Ю. Н., Стародубцев Г. С. Международное право. [Электронный ресурс]</w:t>
            </w:r>
            <w:proofErr w:type="gramStart"/>
            <w:r w:rsidRPr="002247C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247CE">
              <w:rPr>
                <w:color w:val="000000"/>
                <w:sz w:val="24"/>
                <w:szCs w:val="24"/>
              </w:rPr>
              <w:t xml:space="preserve">чебник для бакалавров. - Москва: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, 2016. - 723 с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247C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2247C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2247C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2247CE">
              <w:rPr>
                <w:color w:val="000000"/>
                <w:sz w:val="24"/>
                <w:szCs w:val="24"/>
              </w:rPr>
              <w:t>/387598</w:t>
            </w:r>
          </w:p>
          <w:p w:rsidR="00843FEC" w:rsidRPr="002247CE" w:rsidRDefault="00843FEC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2247CE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Самойленко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В.В. Дипломатическая служба. [Электронный ресурс]</w:t>
            </w:r>
            <w:proofErr w:type="gramStart"/>
            <w:r w:rsidRPr="002247C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247CE">
              <w:rPr>
                <w:color w:val="000000"/>
                <w:sz w:val="24"/>
                <w:szCs w:val="24"/>
              </w:rPr>
              <w:t xml:space="preserve">чебное пособие. - Москва: ООО "Юридическое издательство Норма", 2010. - 320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247C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247C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247C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247C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247CE">
              <w:rPr>
                <w:color w:val="000000"/>
                <w:sz w:val="24"/>
                <w:szCs w:val="24"/>
              </w:rPr>
              <w:t>/185712</w:t>
            </w:r>
          </w:p>
          <w:p w:rsidR="00843FEC" w:rsidRPr="002247CE" w:rsidRDefault="00843FEC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2247CE">
              <w:rPr>
                <w:color w:val="000000"/>
                <w:sz w:val="24"/>
                <w:szCs w:val="24"/>
              </w:rPr>
              <w:t>3. Стародубцев Г.С., Ануфриева Л.П. Международное право. [Электронный ресурс]</w:t>
            </w:r>
            <w:proofErr w:type="gramStart"/>
            <w:r w:rsidRPr="002247CE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247CE">
              <w:rPr>
                <w:color w:val="000000"/>
                <w:sz w:val="24"/>
                <w:szCs w:val="24"/>
              </w:rPr>
              <w:t xml:space="preserve">чебник. - Москва: Издательский Центр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�</w:t>
            </w:r>
            <w:r w:rsidRPr="002247CE">
              <w:rPr>
                <w:color w:val="000000"/>
                <w:sz w:val="24"/>
                <w:szCs w:val="24"/>
              </w:rPr>
              <w:t xml:space="preserve">, 2015. - 416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2247CE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247C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247C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2247C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2247CE">
              <w:rPr>
                <w:color w:val="000000"/>
                <w:sz w:val="24"/>
                <w:szCs w:val="24"/>
              </w:rPr>
              <w:t>/487860</w:t>
            </w:r>
          </w:p>
          <w:p w:rsidR="00843FEC" w:rsidRPr="002247CE" w:rsidRDefault="00843FEC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2247CE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Борунков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А. Ф. Дипломатический протокол в </w:t>
            </w:r>
            <w:proofErr w:type="spellStart"/>
            <w:r w:rsidRPr="002247CE">
              <w:rPr>
                <w:color w:val="000000"/>
                <w:sz w:val="24"/>
                <w:szCs w:val="24"/>
              </w:rPr>
              <w:t>России.</w:t>
            </w:r>
            <w:proofErr w:type="gramStart"/>
            <w:r w:rsidRPr="002247CE">
              <w:rPr>
                <w:color w:val="000000"/>
                <w:sz w:val="24"/>
                <w:szCs w:val="24"/>
              </w:rPr>
              <w:t>:н</w:t>
            </w:r>
            <w:proofErr w:type="gramEnd"/>
            <w:r w:rsidRPr="002247CE">
              <w:rPr>
                <w:color w:val="000000"/>
                <w:sz w:val="24"/>
                <w:szCs w:val="24"/>
              </w:rPr>
              <w:t>аучное</w:t>
            </w:r>
            <w:proofErr w:type="spellEnd"/>
            <w:r w:rsidRPr="002247CE">
              <w:rPr>
                <w:color w:val="000000"/>
                <w:sz w:val="24"/>
                <w:szCs w:val="24"/>
              </w:rPr>
              <w:t xml:space="preserve"> издание. - Москва: Международные отношения, 2001. - 252</w:t>
            </w:r>
          </w:p>
        </w:tc>
      </w:tr>
      <w:tr w:rsidR="00843FEC" w:rsidRPr="00F55930">
        <w:tc>
          <w:tcPr>
            <w:tcW w:w="10490" w:type="dxa"/>
            <w:gridSpan w:val="3"/>
            <w:shd w:val="clear" w:color="auto" w:fill="E7E6E6" w:themeFill="background2"/>
          </w:tcPr>
          <w:p w:rsidR="00843FEC" w:rsidRPr="00F55930" w:rsidRDefault="00843FEC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843FEC" w:rsidRPr="00F55930">
        <w:tc>
          <w:tcPr>
            <w:tcW w:w="10490" w:type="dxa"/>
            <w:gridSpan w:val="3"/>
            <w:shd w:val="clear" w:color="auto" w:fill="auto"/>
          </w:tcPr>
          <w:p w:rsidR="00843FEC" w:rsidRPr="00F55930" w:rsidRDefault="00843FE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843FEC" w:rsidRPr="00F55930" w:rsidRDefault="00843FE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Software "License for the right to install and use the general-purpose operating system </w:t>
            </w:r>
            <w:proofErr w:type="spellStart"/>
            <w:r w:rsidRPr="00F55930">
              <w:rPr>
                <w:color w:val="000000"/>
                <w:sz w:val="24"/>
                <w:szCs w:val="24"/>
                <w:lang w:val="en-US"/>
              </w:rPr>
              <w:t>AstraLinuxCommonEdition</w:t>
            </w:r>
            <w:proofErr w:type="spellEnd"/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930">
              <w:rPr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 5011-001-88328866-2008 Version 2.12. Contract No. 35-U/2018 dated 13.06.2018. Contract No. 0417-PO/2019 dated 08.05.2019, Act No. Sk000343 dated 24.05.2019 and Contract No. 35-U/2018 dated 13.06.2018, Act No. UT213 dated 17.12.2018</w:t>
            </w:r>
          </w:p>
          <w:p w:rsidR="00843FEC" w:rsidRPr="00F55930" w:rsidRDefault="00843FE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- Software “My Office (Standard Version)”. A corporate user license for educational organizations, with no expiration date.  Contract No. 35-U/2018 dated 13.06.2018. Contract No. 0417-PO/2019 dated 08.05.2019, Act No. Sk000343 dated 24.05.2019 and Contract No. 35-U/2018 dated 13.06.2018, Act No. UT213 dated 17.12.2018. Agreement dated 07.06.2017</w:t>
            </w:r>
          </w:p>
          <w:p w:rsidR="00843FEC" w:rsidRPr="00F55930" w:rsidRDefault="00843FE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843FEC" w:rsidRPr="00F55930" w:rsidRDefault="00843FEC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843FEC" w:rsidRPr="00F55930" w:rsidRDefault="00843FEC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843FEC" w:rsidRPr="00F55930" w:rsidRDefault="00843FEC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  <w:tr w:rsidR="00843FEC" w:rsidRPr="008A13A6">
        <w:tc>
          <w:tcPr>
            <w:tcW w:w="10490" w:type="dxa"/>
            <w:gridSpan w:val="3"/>
            <w:shd w:val="clear" w:color="auto" w:fill="E7E6E6" w:themeFill="background2"/>
          </w:tcPr>
          <w:p w:rsidR="00843FEC" w:rsidRPr="00F55930" w:rsidRDefault="00843FEC">
            <w:pPr>
              <w:rPr>
                <w:b/>
                <w:i/>
                <w:sz w:val="24"/>
                <w:szCs w:val="24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Online courses</w:t>
            </w:r>
            <w:r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43FEC" w:rsidRPr="008A13A6">
        <w:tc>
          <w:tcPr>
            <w:tcW w:w="10490" w:type="dxa"/>
            <w:gridSpan w:val="3"/>
            <w:shd w:val="clear" w:color="auto" w:fill="auto"/>
          </w:tcPr>
          <w:p w:rsidR="00843FEC" w:rsidRPr="00F55930" w:rsidRDefault="00843FE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843FEC" w:rsidRPr="008A13A6">
        <w:tc>
          <w:tcPr>
            <w:tcW w:w="10490" w:type="dxa"/>
            <w:gridSpan w:val="3"/>
            <w:shd w:val="clear" w:color="auto" w:fill="E7E6E6" w:themeFill="background2"/>
          </w:tcPr>
          <w:p w:rsidR="00843FEC" w:rsidRPr="00F55930" w:rsidRDefault="00843FEC" w:rsidP="00104A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Professional standards</w:t>
            </w:r>
            <w:r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43FEC" w:rsidRPr="008A13A6">
        <w:tc>
          <w:tcPr>
            <w:tcW w:w="10490" w:type="dxa"/>
            <w:gridSpan w:val="3"/>
            <w:shd w:val="clear" w:color="auto" w:fill="auto"/>
          </w:tcPr>
          <w:p w:rsidR="00843FEC" w:rsidRPr="00F55930" w:rsidRDefault="00843FEC" w:rsidP="008A13A6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n/a/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843FEC">
        <w:rPr>
          <w:sz w:val="24"/>
          <w:szCs w:val="24"/>
          <w:lang w:val="en-US"/>
        </w:rPr>
        <w:t>Alexandr</w:t>
      </w:r>
      <w:proofErr w:type="spellEnd"/>
      <w:r w:rsidR="00843FEC">
        <w:rPr>
          <w:sz w:val="24"/>
          <w:szCs w:val="24"/>
          <w:lang w:val="en-US"/>
        </w:rPr>
        <w:t xml:space="preserve"> Saboskin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D668F3"/>
    <w:multiLevelType w:val="hybridMultilevel"/>
    <w:tmpl w:val="08EC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4E44EF"/>
    <w:rsid w:val="00535247"/>
    <w:rsid w:val="006E789F"/>
    <w:rsid w:val="00843FEC"/>
    <w:rsid w:val="008A13A6"/>
    <w:rsid w:val="00966874"/>
    <w:rsid w:val="00A26585"/>
    <w:rsid w:val="00A846D1"/>
    <w:rsid w:val="00B20250"/>
    <w:rsid w:val="00BC54A9"/>
    <w:rsid w:val="00E02C53"/>
    <w:rsid w:val="00E3249E"/>
    <w:rsid w:val="00F33588"/>
    <w:rsid w:val="00F55930"/>
    <w:rsid w:val="00FD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2021-10-23T07:01:00Z</dcterms:created>
  <dcterms:modified xsi:type="dcterms:W3CDTF">2021-10-23T07:24:00Z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