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030638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Innovations and Risk Management in International Business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030638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4B38CA" w:rsidRDefault="004B38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4B38CA" w:rsidRPr="00030638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The concept and essence of innovation and risk management in international business</w:t>
            </w:r>
          </w:p>
        </w:tc>
      </w:tr>
      <w:tr w:rsidR="004B38CA" w:rsidRPr="00030638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The role of innovation and risk management in economic development</w:t>
            </w:r>
          </w:p>
        </w:tc>
      </w:tr>
      <w:tr w:rsidR="004B38CA" w:rsidRPr="00030638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Development of innovative potential in industrialized countries and the Russian Federation</w:t>
            </w:r>
          </w:p>
        </w:tc>
      </w:tr>
      <w:tr w:rsidR="004B38CA" w:rsidRPr="00030638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National innovation systems and models of innovative development</w:t>
            </w:r>
            <w:r>
              <w:rPr>
                <w:lang w:val="en-US"/>
              </w:rPr>
              <w:t xml:space="preserve"> in different </w:t>
            </w:r>
            <w:r w:rsidRPr="004B38CA">
              <w:rPr>
                <w:lang w:val="en-US"/>
              </w:rPr>
              <w:t>countries</w:t>
            </w:r>
          </w:p>
        </w:tc>
      </w:tr>
      <w:tr w:rsidR="004B38CA" w:rsidRPr="00030638">
        <w:tc>
          <w:tcPr>
            <w:tcW w:w="10490" w:type="dxa"/>
            <w:gridSpan w:val="3"/>
            <w:shd w:val="clear" w:color="auto" w:fill="auto"/>
          </w:tcPr>
          <w:p w:rsidR="004B38CA" w:rsidRPr="004B38CA" w:rsidRDefault="004B38CA" w:rsidP="004B38CA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4B38CA">
              <w:rPr>
                <w:lang w:val="en-US"/>
              </w:rPr>
              <w:t>International technology exchange. International agreements in the field of standards and product requirements.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4B38CA" w:rsidRPr="00030638">
        <w:tc>
          <w:tcPr>
            <w:tcW w:w="10490" w:type="dxa"/>
            <w:gridSpan w:val="3"/>
            <w:shd w:val="clear" w:color="auto" w:fill="auto"/>
          </w:tcPr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1. Иващенко Н. П.,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Энговатова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А. А., Шахова М. С., Антропов М. С., Коростылева И. И. Экономика инноваций.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:к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урс лекций. - Москва: МАКС Пресс, 2014. - 351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/534043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>2. Иващенко Н.П. Экономика инноваций.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чебно-методическая литература. - Москва: Экономический факультет МГУ, 2016. - 81 с.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/967683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Донцова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О. И.,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С. А. Инновационная экономика. Стратегия и инструменты формирования.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чебное пособие для студентов вузов, обучающихся по направлению подготовки 38.04.01 «Экономика» (квалификация (степень) «магистр».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, 2019. - 208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/1008664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>4. Организация и управление внешнеэкономической деятельностью предприятия. Учебное пособие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 [в 2 ч.]. Ч. 2. [Электронный ресурс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], 2015. - 208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261AAC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261AAC">
              <w:rPr>
                <w:color w:val="000000"/>
                <w:sz w:val="24"/>
                <w:szCs w:val="24"/>
              </w:rPr>
              <w:t>486387.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5. Горфинкель В. Я., Базилевич А. И., Блинов А. О., Бобков Л. В., Захаров П. Н., Маркова О. М., Маслова В. М.,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Попадюк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Т. Г., Проскурин В. К., Родионова Н. В. Инновационное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предпринимательство.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>, 2015. - 523</w:t>
            </w:r>
          </w:p>
          <w:p w:rsidR="004B38CA" w:rsidRPr="00005498" w:rsidRDefault="004B38CA" w:rsidP="001D53A8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6. Горфинкель В. Я., Базилевич А. И., Блинов А. О., Бобков Л. В., Захаров П. Н., Маркова О. М., Маслова В. М.,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Попадюк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Т. Г., Проскурин В. К., Родионова Н. В. Инновационное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предпринимательство.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, 2016. </w:t>
            </w:r>
            <w:r w:rsidR="00005498">
              <w:rPr>
                <w:color w:val="000000"/>
                <w:sz w:val="24"/>
                <w:szCs w:val="24"/>
              </w:rPr>
              <w:t>–</w:t>
            </w:r>
            <w:r w:rsidRPr="00261AAC">
              <w:rPr>
                <w:color w:val="000000"/>
                <w:sz w:val="24"/>
                <w:szCs w:val="24"/>
              </w:rPr>
              <w:t xml:space="preserve"> 523</w:t>
            </w:r>
          </w:p>
          <w:p w:rsidR="00005498" w:rsidRDefault="00005498" w:rsidP="001D53A8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Yilmaz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A. K.,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Flouris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T. Corporate Risk Management for International Business</w:t>
            </w:r>
            <w:proofErr w:type="gramStart"/>
            <w:r w:rsidRPr="00005498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- , 2017.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167</w:t>
            </w:r>
          </w:p>
          <w:p w:rsidR="00005498" w:rsidRDefault="00005498" w:rsidP="001D53A8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8. 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Olson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D.L.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, Wu D. Enterprise Risk Management Models (Springer Texts in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Busines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and Economics):3rd edition. - , 2020.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225</w:t>
            </w:r>
          </w:p>
          <w:p w:rsidR="00005498" w:rsidRDefault="00005498" w:rsidP="001D53A8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Arora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A.S.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Bacouel-Jentjens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S. Global Business Value Innovations. Building Innovation Capabilities for Business Strategies</w:t>
            </w:r>
            <w:proofErr w:type="gramStart"/>
            <w:r w:rsidRPr="00005498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- , 2018. – 145</w:t>
            </w:r>
          </w:p>
          <w:p w:rsidR="00005498" w:rsidRDefault="00005498" w:rsidP="001D53A8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10. 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>Kendrick T. Identifying and Managing Project Risk: Essential Tools for Failure-Proofing Your Project</w:t>
            </w:r>
            <w:proofErr w:type="gramStart"/>
            <w:r w:rsidRPr="00005498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- , 2022.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390</w:t>
            </w:r>
          </w:p>
          <w:p w:rsidR="00005498" w:rsidRDefault="00005498" w:rsidP="001D53A8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Goffin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K., Mitchell R. Innovation Management: Effective strategy and implementation</w:t>
            </w:r>
            <w:proofErr w:type="gramStart"/>
            <w:r w:rsidRPr="00005498">
              <w:rPr>
                <w:color w:val="000000"/>
                <w:sz w:val="24"/>
                <w:szCs w:val="24"/>
                <w:lang w:val="en-US"/>
              </w:rPr>
              <w:t>:3rd</w:t>
            </w:r>
            <w:proofErr w:type="gram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Edition. - , 2017.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413</w:t>
            </w:r>
          </w:p>
          <w:p w:rsidR="00005498" w:rsidRPr="00005498" w:rsidRDefault="00005498" w:rsidP="001D53A8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12. </w:t>
            </w:r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Dodgson M., Gann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D.M.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The Oxford Handbook of </w:t>
            </w:r>
            <w:proofErr w:type="spellStart"/>
            <w:r w:rsidRPr="00005498">
              <w:rPr>
                <w:color w:val="000000"/>
                <w:sz w:val="24"/>
                <w:szCs w:val="24"/>
                <w:lang w:val="en-US"/>
              </w:rPr>
              <w:t>Innivation</w:t>
            </w:r>
            <w:proofErr w:type="spell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Management</w:t>
            </w:r>
            <w:proofErr w:type="gramStart"/>
            <w:r w:rsidRPr="00005498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005498">
              <w:rPr>
                <w:color w:val="000000"/>
                <w:sz w:val="24"/>
                <w:szCs w:val="24"/>
                <w:lang w:val="en-US"/>
              </w:rPr>
              <w:t xml:space="preserve"> - , 2015. - 700</w:t>
            </w:r>
          </w:p>
        </w:tc>
      </w:tr>
      <w:tr w:rsidR="00F55930" w:rsidRPr="00005498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4B38CA" w:rsidRPr="008A13A6">
        <w:tc>
          <w:tcPr>
            <w:tcW w:w="10490" w:type="dxa"/>
            <w:gridSpan w:val="3"/>
            <w:shd w:val="clear" w:color="auto" w:fill="auto"/>
          </w:tcPr>
          <w:p w:rsidR="004B38CA" w:rsidRPr="00005498" w:rsidRDefault="004B38CA" w:rsidP="001D53A8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03063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Дежкина</w:t>
            </w:r>
            <w:proofErr w:type="spellEnd"/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И</w:t>
            </w:r>
            <w:r w:rsidRPr="00030638">
              <w:rPr>
                <w:color w:val="000000"/>
                <w:sz w:val="24"/>
                <w:szCs w:val="24"/>
              </w:rPr>
              <w:t xml:space="preserve">. </w:t>
            </w:r>
            <w:r w:rsidRPr="00261AAC">
              <w:rPr>
                <w:color w:val="000000"/>
                <w:sz w:val="24"/>
                <w:szCs w:val="24"/>
              </w:rPr>
              <w:t>П</w:t>
            </w:r>
            <w:r w:rsidRPr="00030638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Поташева</w:t>
            </w:r>
            <w:proofErr w:type="spellEnd"/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Г</w:t>
            </w:r>
            <w:r w:rsidRPr="00030638">
              <w:rPr>
                <w:color w:val="000000"/>
                <w:sz w:val="24"/>
                <w:szCs w:val="24"/>
              </w:rPr>
              <w:t xml:space="preserve">. </w:t>
            </w:r>
            <w:r w:rsidRPr="00261AAC">
              <w:rPr>
                <w:color w:val="000000"/>
                <w:sz w:val="24"/>
                <w:szCs w:val="24"/>
              </w:rPr>
              <w:t>А</w:t>
            </w:r>
            <w:r w:rsidRPr="00030638">
              <w:rPr>
                <w:color w:val="000000"/>
                <w:sz w:val="24"/>
                <w:szCs w:val="24"/>
              </w:rPr>
              <w:t xml:space="preserve">. </w:t>
            </w:r>
            <w:r w:rsidRPr="00261AAC">
              <w:rPr>
                <w:color w:val="000000"/>
                <w:sz w:val="24"/>
                <w:szCs w:val="24"/>
              </w:rPr>
              <w:t>Инновационный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потенциал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хозяйственной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системы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и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его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оценка</w:t>
            </w:r>
            <w:r w:rsidRPr="00030638">
              <w:rPr>
                <w:color w:val="000000"/>
                <w:sz w:val="24"/>
                <w:szCs w:val="24"/>
              </w:rPr>
              <w:t xml:space="preserve"> (</w:t>
            </w:r>
            <w:r w:rsidRPr="00261AAC">
              <w:rPr>
                <w:color w:val="000000"/>
                <w:sz w:val="24"/>
                <w:szCs w:val="24"/>
              </w:rPr>
              <w:t>методы</w:t>
            </w:r>
            <w:r w:rsidRPr="00030638">
              <w:rPr>
                <w:color w:val="000000"/>
                <w:sz w:val="24"/>
                <w:szCs w:val="24"/>
              </w:rPr>
              <w:t xml:space="preserve"> </w:t>
            </w:r>
            <w:r w:rsidRPr="00261AAC">
              <w:rPr>
                <w:color w:val="000000"/>
                <w:sz w:val="24"/>
                <w:szCs w:val="24"/>
              </w:rPr>
              <w:t>формирования и оценки).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, 2014. - 122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005498" w:rsidRPr="00D05B9D">
                <w:rPr>
                  <w:rStyle w:val="affffffff"/>
                  <w:sz w:val="24"/>
                  <w:szCs w:val="24"/>
                </w:rPr>
                <w:t>https://znanium.com/catalog/product/413666</w:t>
              </w:r>
            </w:hyperlink>
          </w:p>
          <w:p w:rsidR="00005498" w:rsidRPr="00005498" w:rsidRDefault="00005498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005498">
              <w:rPr>
                <w:color w:val="000000"/>
                <w:sz w:val="24"/>
                <w:szCs w:val="24"/>
              </w:rPr>
              <w:t xml:space="preserve">2. </w:t>
            </w:r>
            <w:r w:rsidRPr="00A05838">
              <w:rPr>
                <w:color w:val="000000"/>
                <w:sz w:val="24"/>
                <w:szCs w:val="24"/>
              </w:rPr>
              <w:t>Кудина М.В., Сажина М.А. Экономика инновационного развития [Электронный ресурс]</w:t>
            </w:r>
            <w:proofErr w:type="gramStart"/>
            <w:r w:rsidRPr="00A05838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A05838">
              <w:rPr>
                <w:color w:val="000000"/>
                <w:sz w:val="24"/>
                <w:szCs w:val="24"/>
              </w:rPr>
              <w:t xml:space="preserve">онография. - Москва: Издательский Дом "ФОРУМ", 2013. - 256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0583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0583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A0583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A0583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A0583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A05838">
              <w:rPr>
                <w:color w:val="000000"/>
                <w:sz w:val="24"/>
                <w:szCs w:val="24"/>
              </w:rPr>
              <w:t>/420170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Дежкина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И. П.,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Поташева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 Г.А. Инновационный потенциал хозяйственной системы и его оценка (методы формирования и оценки).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261AAC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", 2019. - 122 с.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/1018040</w:t>
            </w:r>
          </w:p>
          <w:p w:rsidR="004B38CA" w:rsidRPr="00261AAC" w:rsidRDefault="004B38CA" w:rsidP="001D53A8">
            <w:pPr>
              <w:ind w:firstLine="756"/>
              <w:jc w:val="both"/>
              <w:rPr>
                <w:sz w:val="24"/>
                <w:szCs w:val="24"/>
              </w:rPr>
            </w:pPr>
            <w:r w:rsidRPr="00261AAC">
              <w:rPr>
                <w:color w:val="000000"/>
                <w:sz w:val="24"/>
                <w:szCs w:val="24"/>
              </w:rPr>
              <w:t xml:space="preserve">4. Капустина Н.В. Развитие организации на основе </w:t>
            </w:r>
            <w:proofErr w:type="spellStart"/>
            <w:proofErr w:type="gramStart"/>
            <w:r w:rsidRPr="00261AAC">
              <w:rPr>
                <w:color w:val="000000"/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261AAC">
              <w:rPr>
                <w:color w:val="000000"/>
                <w:sz w:val="24"/>
                <w:szCs w:val="24"/>
              </w:rPr>
              <w:t>: теория, методология и практика. [Электронный ресурс]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>онография. - Москва: ООО "Научно-издательский центр ИНФР</w:t>
            </w:r>
            <w:proofErr w:type="gramStart"/>
            <w:r w:rsidRPr="00261AAC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261AAC">
              <w:rPr>
                <w:color w:val="000000"/>
                <w:sz w:val="24"/>
                <w:szCs w:val="24"/>
              </w:rPr>
              <w:t xml:space="preserve"> М", 2018. - 178 с. – </w:t>
            </w:r>
            <w:proofErr w:type="spellStart"/>
            <w:r w:rsidR="000306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61AA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61AA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61AA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61AA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61AAC">
              <w:rPr>
                <w:color w:val="000000"/>
                <w:sz w:val="24"/>
                <w:szCs w:val="24"/>
              </w:rPr>
              <w:t>/975931</w:t>
            </w:r>
          </w:p>
        </w:tc>
      </w:tr>
      <w:tr w:rsidR="00A26585" w:rsidRPr="00030638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4B38CA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4B38CA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4B38CA">
              <w:rPr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4B38CA">
              <w:rPr>
                <w:color w:val="000000"/>
                <w:sz w:val="24"/>
                <w:szCs w:val="24"/>
              </w:rPr>
              <w:t>ПО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B38CA" w:rsidRDefault="0044558B" w:rsidP="004B38C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B38CA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4B38CA">
              <w:rPr>
                <w:color w:val="000000"/>
                <w:sz w:val="24"/>
                <w:szCs w:val="24"/>
              </w:rPr>
              <w:t>ПО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4B38CA">
              <w:rPr>
                <w:sz w:val="24"/>
                <w:szCs w:val="24"/>
                <w:lang w:val="en-US"/>
              </w:rPr>
              <w:t xml:space="preserve"> dated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4B38CA">
              <w:rPr>
                <w:sz w:val="24"/>
                <w:szCs w:val="24"/>
                <w:lang w:val="en-US"/>
              </w:rPr>
              <w:t xml:space="preserve"> dated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4B38CA">
              <w:rPr>
                <w:sz w:val="24"/>
                <w:szCs w:val="24"/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License </w:t>
            </w:r>
          </w:p>
          <w:p w:rsidR="00005498" w:rsidRPr="006E5B5F" w:rsidRDefault="00005498" w:rsidP="0000549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005498" w:rsidRPr="00005498" w:rsidRDefault="00005498" w:rsidP="004B38C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7718">
              <w:rPr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Acrobat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DCPro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 No. 1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74/223-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/2021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08.12.21.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13.12.2022.</w:t>
            </w:r>
          </w:p>
          <w:p w:rsidR="004B38CA" w:rsidRDefault="004B38C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4B38CA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4B38CA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4B38CA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4B38CA">
              <w:rPr>
                <w:sz w:val="24"/>
                <w:szCs w:val="24"/>
                <w:lang w:val="en-US"/>
              </w:rPr>
              <w:t xml:space="preserve">.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4B38CA">
              <w:rPr>
                <w:color w:val="000000"/>
                <w:sz w:val="24"/>
                <w:szCs w:val="24"/>
              </w:rPr>
              <w:t>У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4B38CA">
              <w:rPr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4B38CA">
              <w:rPr>
                <w:lang w:val="en-US"/>
              </w:rPr>
              <w:t xml:space="preserve"> </w:t>
            </w:r>
            <w:r w:rsidR="0044558B" w:rsidRPr="004B38CA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4B38CA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4B38CA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4B38CA">
              <w:rPr>
                <w:sz w:val="24"/>
                <w:szCs w:val="24"/>
                <w:lang w:val="en-US"/>
              </w:rPr>
              <w:t>+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4B38CA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4B38CA">
              <w:rPr>
                <w:lang w:val="en-US"/>
              </w:rPr>
              <w:t xml:space="preserve"> </w:t>
            </w:r>
            <w:r w:rsidRPr="004B38CA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4B38CA">
        <w:rPr>
          <w:sz w:val="24"/>
          <w:szCs w:val="24"/>
          <w:lang w:val="en-US"/>
        </w:rPr>
        <w:t>Irina Savelieva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D81C2F"/>
    <w:multiLevelType w:val="hybridMultilevel"/>
    <w:tmpl w:val="E682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05498"/>
    <w:rsid w:val="00030638"/>
    <w:rsid w:val="00104A11"/>
    <w:rsid w:val="001323A2"/>
    <w:rsid w:val="003140BB"/>
    <w:rsid w:val="00344A66"/>
    <w:rsid w:val="0035167C"/>
    <w:rsid w:val="0038123E"/>
    <w:rsid w:val="003E09A3"/>
    <w:rsid w:val="0044558B"/>
    <w:rsid w:val="004B38CA"/>
    <w:rsid w:val="004E44EF"/>
    <w:rsid w:val="00535247"/>
    <w:rsid w:val="006572F5"/>
    <w:rsid w:val="00665C49"/>
    <w:rsid w:val="006E789F"/>
    <w:rsid w:val="008A13A6"/>
    <w:rsid w:val="00945E68"/>
    <w:rsid w:val="00966874"/>
    <w:rsid w:val="00A26585"/>
    <w:rsid w:val="00A574F4"/>
    <w:rsid w:val="00A846D1"/>
    <w:rsid w:val="00B20250"/>
    <w:rsid w:val="00BC54A9"/>
    <w:rsid w:val="00CE0097"/>
    <w:rsid w:val="00D44A0C"/>
    <w:rsid w:val="00E24EDD"/>
    <w:rsid w:val="00E3249E"/>
    <w:rsid w:val="00EB479C"/>
    <w:rsid w:val="00F33588"/>
    <w:rsid w:val="00F55930"/>
    <w:rsid w:val="00F7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0054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413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2022-09-01T07:03:00Z</dcterms:created>
  <dcterms:modified xsi:type="dcterms:W3CDTF">2022-09-01T08:36:00Z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