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инвестиционного</w:t>
            </w:r>
            <w:r>
              <w:rPr/>
              <w:t xml:space="preserve"> </w:t>
            </w:r>
            <w:r>
              <w:rPr>
                <w:rFonts w:ascii="Times New Roman" w:hAnsi="Times New Roman" w:cs="Times New Roman"/>
                <w:color w:val="#000000"/>
                <w:sz w:val="24"/>
                <w:szCs w:val="24"/>
              </w:rPr>
              <w:t>проекта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Контрольная работа</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инвестиционной деятельности и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правового регулирования подготовки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отношений в области формирования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договоры.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экспертиза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как результат правовой экспертизы инвестиционного проекта.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управления инвестиционным проектом. Жизненный цикл проекта. Управление рисками.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Финансово-правовые основы подготовки и реализации инвестиционного проекта.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Судебно-арбитражная практика в сфере реализации инвестиционных проектов. Особенности разрешения отдельных категорий инвестиционных споров.</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Морозов Г. Б. Правовое регулирование предпринимательской деятельности. [Электронный ресурс]:Учебник и практикум для вузов. - Москва: Юрайт, 2020. - 457 – Режим доступа: https://urait.ru/bcode/449253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Шарп У.Ф., Александер Г. Д. Инвестиции. [Электронный ресурс]:Учебник. - Москва: ООО "Научно-издательский центр ИНФРА-М", 2021. - 1040 – Режим доступа: https://znanium.com/catalog/product/1149645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 Д. В., Корецкая Л. К., Балынин И. В., Булгаевский Г. Ф., Власова Н. В., Губернаторов А. М., Ломов Е. Е., Новикова Т. А., Савельев И. И., Ловкова Е. С., Шмелева Л. А. Инвестиционный менеджмент. [Электронный ресурс]:Учебник и практикум для вузов. - Москва: Юрайт, 2020. - 289 – Режим доступа: https://urait.ru/bcode/466880</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Лапуста М. Г. Предпринимательство. [Электронный ресурс]:Учебник. - Москва: ООО "Научно-издательский центр ИНФРА-М", 2019. - 384 с. – Режим доступа: https://znanium.com/catalog/product/1002467</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826.1393"/>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2"/>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Ходасевич</w:t>
            </w:r>
            <w:r>
              <w:rPr/>
              <w:t xml:space="preserve"> </w:t>
            </w:r>
            <w:r>
              <w:rPr>
                <w:rFonts w:ascii="Times New Roman" w:hAnsi="Times New Roman" w:cs="Times New Roman"/>
                <w:color w:val="#000000"/>
                <w:sz w:val="24"/>
                <w:szCs w:val="24"/>
              </w:rPr>
              <w:t>Олег</w:t>
            </w:r>
            <w:r>
              <w:rPr/>
              <w:t xml:space="preserve"> </w:t>
            </w:r>
            <w:r>
              <w:rPr>
                <w:rFonts w:ascii="Times New Roman" w:hAnsi="Times New Roman" w:cs="Times New Roman"/>
                <w:color w:val="#000000"/>
                <w:sz w:val="24"/>
                <w:szCs w:val="24"/>
              </w:rPr>
              <w:t>Николаевич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2022-2023_z38_04_02_ЗМ-УПР-22_plx_Юридическая подготовка инвестиционного проекта</dc:title>
  <dc:creator>FastReport.NET</dc:creator>
</cp:coreProperties>
</file>