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088"/>
        <w:gridCol w:w="439"/>
      </w:tblGrid>
      <w:tr w:rsidR="008A58B2">
        <w:trPr>
          <w:trHeight w:hRule="exact" w:val="304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</w:p>
        </w:tc>
        <w:tc>
          <w:tcPr>
            <w:tcW w:w="426" w:type="dxa"/>
          </w:tcPr>
          <w:p w:rsidR="008A58B2" w:rsidRDefault="008A58B2"/>
        </w:tc>
      </w:tr>
      <w:tr w:rsidR="008A58B2">
        <w:trPr>
          <w:trHeight w:hRule="exact" w:val="225"/>
        </w:trPr>
        <w:tc>
          <w:tcPr>
            <w:tcW w:w="1022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 программы практики</w:t>
            </w:r>
          </w:p>
        </w:tc>
        <w:tc>
          <w:tcPr>
            <w:tcW w:w="426" w:type="dxa"/>
          </w:tcPr>
          <w:p w:rsidR="008A58B2" w:rsidRDefault="008A58B2"/>
        </w:tc>
      </w:tr>
      <w:tr w:rsidR="008A58B2">
        <w:trPr>
          <w:trHeight w:hRule="exact" w:val="60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Вид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Учебная</w:t>
            </w:r>
            <w:r>
              <w:t xml:space="preserve"> </w:t>
            </w:r>
          </w:p>
        </w:tc>
      </w:tr>
      <w:tr w:rsidR="008A58B2" w:rsidRPr="00EB4702">
        <w:trPr>
          <w:trHeight w:hRule="exact" w:val="560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п.2.2.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получению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умений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опыта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EB4702">
              <w:rPr>
                <w:lang w:val="ru-RU"/>
              </w:rPr>
              <w:t xml:space="preserve"> </w:t>
            </w:r>
          </w:p>
        </w:tc>
      </w:tr>
      <w:tr w:rsidR="008A58B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Направление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подготовки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экспертиза</w:t>
            </w:r>
            <w:r>
              <w:t xml:space="preserve"> </w:t>
            </w:r>
          </w:p>
        </w:tc>
      </w:tr>
      <w:tr w:rsidR="008A58B2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Профиль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40.05.03специализация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"Экономические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экспертизы":</w:t>
            </w:r>
            <w:r>
              <w:t xml:space="preserve"> </w:t>
            </w:r>
          </w:p>
        </w:tc>
      </w:tr>
      <w:tr w:rsidR="008A58B2">
        <w:trPr>
          <w:trHeight w:hRule="exact" w:val="55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Объем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з.е</w:t>
            </w:r>
            <w:r>
              <w:t xml:space="preserve"> </w:t>
            </w:r>
          </w:p>
        </w:tc>
      </w:tr>
      <w:tr w:rsidR="008A58B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Формы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промежуточной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аттестации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оценкой</w:t>
            </w:r>
            <w:r>
              <w:t xml:space="preserve"> </w:t>
            </w:r>
          </w:p>
        </w:tc>
      </w:tr>
      <w:tr w:rsidR="008A58B2" w:rsidRPr="00EB4702">
        <w:trPr>
          <w:trHeight w:hRule="exact" w:val="549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конкурентного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права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антимонопольного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регулирования</w:t>
            </w:r>
            <w:r w:rsidRPr="00EB4702">
              <w:rPr>
                <w:lang w:val="ru-RU"/>
              </w:rPr>
              <w:t xml:space="preserve"> </w:t>
            </w:r>
          </w:p>
        </w:tc>
      </w:tr>
      <w:tr w:rsidR="008A58B2">
        <w:trPr>
          <w:trHeight w:hRule="exact" w:val="277"/>
        </w:trPr>
        <w:tc>
          <w:tcPr>
            <w:tcW w:w="1064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r>
              <w:t xml:space="preserve">  </w:t>
            </w:r>
          </w:p>
        </w:tc>
      </w:tr>
      <w:tr w:rsidR="008A58B2" w:rsidRPr="00EB4702">
        <w:trPr>
          <w:trHeight w:hRule="exact" w:val="55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ОПОП</w:t>
            </w:r>
            <w:r>
              <w:t xml:space="preserve"> </w:t>
            </w:r>
          </w:p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п.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2.4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ФГОС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полном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объеме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относится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базовой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плана.</w:t>
            </w:r>
            <w:r w:rsidRPr="00EB4702">
              <w:rPr>
                <w:lang w:val="ru-RU"/>
              </w:rPr>
              <w:t xml:space="preserve"> </w:t>
            </w:r>
          </w:p>
        </w:tc>
      </w:tr>
      <w:tr w:rsidR="008A58B2">
        <w:trPr>
          <w:trHeight w:hRule="exact" w:val="138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Способы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B470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стационарная</w:t>
            </w:r>
            <w:r>
              <w:t xml:space="preserve"> </w:t>
            </w:r>
          </w:p>
        </w:tc>
      </w:tr>
      <w:tr w:rsidR="008A58B2">
        <w:trPr>
          <w:trHeight w:hRule="exact" w:val="1677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Формы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проведения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</w:t>
            </w:r>
            <w:r w:rsidRPr="00EB4702">
              <w:rPr>
                <w:lang w:val="ru-RU"/>
              </w:rPr>
              <w:t xml:space="preserve"> </w:t>
            </w:r>
          </w:p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(соответствии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положением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университета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практической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подготовке)</w:t>
            </w:r>
            <w:r w:rsidRPr="00EB470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дискретно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  <w:r>
              <w:t xml:space="preserve"> </w:t>
            </w:r>
          </w:p>
        </w:tc>
      </w:tr>
      <w:tr w:rsidR="008A58B2" w:rsidRPr="00EB4702">
        <w:trPr>
          <w:trHeight w:hRule="exact" w:val="95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Цель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Целью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является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формирования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видами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ориентирована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программа,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готовности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решениям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задач.</w:t>
            </w:r>
            <w:r w:rsidRPr="00EB4702">
              <w:rPr>
                <w:lang w:val="ru-RU"/>
              </w:rPr>
              <w:t xml:space="preserve"> </w:t>
            </w:r>
          </w:p>
        </w:tc>
      </w:tr>
      <w:tr w:rsidR="008A58B2" w:rsidRPr="00EB4702">
        <w:trPr>
          <w:trHeight w:hRule="exact" w:val="1805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Краткое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содержание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совместного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рабочего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графики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индивидуального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задания.</w:t>
            </w:r>
            <w:r w:rsidRPr="00EB4702">
              <w:rPr>
                <w:lang w:val="ru-RU"/>
              </w:rPr>
              <w:t xml:space="preserve"> </w:t>
            </w:r>
          </w:p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мероприятия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Вид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оценочного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</w:t>
            </w:r>
            <w:r w:rsidRPr="00EB4702">
              <w:rPr>
                <w:lang w:val="ru-RU"/>
              </w:rPr>
              <w:t xml:space="preserve"> </w:t>
            </w:r>
          </w:p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(документ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выполнению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мероприятия)</w:t>
            </w:r>
            <w:r w:rsidRPr="00EB4702">
              <w:rPr>
                <w:lang w:val="ru-RU"/>
              </w:rPr>
              <w:t xml:space="preserve"> </w:t>
            </w:r>
          </w:p>
        </w:tc>
      </w:tr>
      <w:tr w:rsidR="008A58B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руководителях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ч.1</w:t>
            </w:r>
            <w:r>
              <w:t xml:space="preserve"> </w:t>
            </w:r>
          </w:p>
        </w:tc>
      </w:tr>
      <w:tr w:rsidR="008A58B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Инструктажи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ч.2</w:t>
            </w:r>
            <w:r>
              <w:t xml:space="preserve"> </w:t>
            </w:r>
          </w:p>
        </w:tc>
      </w:tr>
      <w:tr w:rsidR="008A58B2">
        <w:trPr>
          <w:trHeight w:hRule="exact" w:val="694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ч.3</w:t>
            </w:r>
            <w:r>
              <w:t xml:space="preserve"> </w:t>
            </w:r>
          </w:p>
        </w:tc>
      </w:tr>
      <w:tr w:rsidR="008A58B2" w:rsidRPr="00EB4702">
        <w:trPr>
          <w:trHeight w:hRule="exact" w:val="833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Описание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алгоритма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выполнения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инд.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задания</w:t>
            </w:r>
            <w:r w:rsidRPr="00EB470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ч.4</w:t>
            </w:r>
            <w:r w:rsidRPr="00EB4702">
              <w:rPr>
                <w:lang w:val="ru-RU"/>
              </w:rPr>
              <w:t xml:space="preserve"> </w:t>
            </w:r>
          </w:p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Аналитическая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справка</w:t>
            </w:r>
            <w:r w:rsidRPr="00EB4702">
              <w:rPr>
                <w:lang w:val="ru-RU"/>
              </w:rPr>
              <w:t xml:space="preserve"> </w:t>
            </w:r>
          </w:p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Решение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кейса</w:t>
            </w:r>
            <w:r w:rsidRPr="00EB4702">
              <w:rPr>
                <w:lang w:val="ru-RU"/>
              </w:rPr>
              <w:t xml:space="preserve"> </w:t>
            </w:r>
          </w:p>
        </w:tc>
      </w:tr>
      <w:tr w:rsidR="008A58B2">
        <w:trPr>
          <w:trHeight w:hRule="exact" w:val="1109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Документы,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обучающийся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представляет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окончании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B470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Совместный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рабочий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проведения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EB4702">
              <w:rPr>
                <w:lang w:val="ru-RU"/>
              </w:rPr>
              <w:t xml:space="preserve"> </w:t>
            </w:r>
          </w:p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Индивидуальное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задание</w:t>
            </w:r>
            <w:r w:rsidRPr="00EB4702">
              <w:rPr>
                <w:lang w:val="ru-RU"/>
              </w:rPr>
              <w:t xml:space="preserve"> </w:t>
            </w:r>
          </w:p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Отчет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совместного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рабочего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графика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B4702">
              <w:rPr>
                <w:lang w:val="ru-RU"/>
              </w:rPr>
              <w:t xml:space="preserve"> </w:t>
            </w:r>
          </w:p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задания</w:t>
            </w:r>
            <w:r>
              <w:t xml:space="preserve"> </w:t>
            </w:r>
          </w:p>
        </w:tc>
      </w:tr>
    </w:tbl>
    <w:p w:rsidR="008A58B2" w:rsidRDefault="00EB47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7655"/>
      </w:tblGrid>
      <w:tr w:rsidR="008A58B2" w:rsidRPr="00EB4702">
        <w:trPr>
          <w:trHeight w:hRule="exact" w:val="1111"/>
        </w:trPr>
        <w:tc>
          <w:tcPr>
            <w:tcW w:w="3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  <w:vAlign w:val="center"/>
          </w:tcPr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При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организации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практики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возможно/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не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возможно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применение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ДОТ</w:t>
            </w:r>
            <w:r w:rsidRPr="00EB4702">
              <w:rPr>
                <w:lang w:val="ru-RU"/>
              </w:rPr>
              <w:t xml:space="preserve"> </w:t>
            </w:r>
          </w:p>
        </w:tc>
        <w:tc>
          <w:tcPr>
            <w:tcW w:w="7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Применяются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B4702">
              <w:rPr>
                <w:lang w:val="ru-RU"/>
              </w:rPr>
              <w:t xml:space="preserve"> </w:t>
            </w:r>
          </w:p>
          <w:p w:rsidR="008A58B2" w:rsidRPr="00EB4702" w:rsidRDefault="00EB47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(порядок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ДОТ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указан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индивидуальном</w:t>
            </w:r>
            <w:r w:rsidRPr="00EB4702">
              <w:rPr>
                <w:lang w:val="ru-RU"/>
              </w:rPr>
              <w:t xml:space="preserve"> 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задании)</w:t>
            </w:r>
            <w:r w:rsidRPr="00EB4702">
              <w:rPr>
                <w:lang w:val="ru-RU"/>
              </w:rPr>
              <w:t xml:space="preserve"> </w:t>
            </w:r>
          </w:p>
        </w:tc>
      </w:tr>
      <w:tr w:rsidR="008A58B2" w:rsidRPr="00EB4702">
        <w:trPr>
          <w:trHeight w:hRule="exact" w:val="392"/>
        </w:trPr>
        <w:tc>
          <w:tcPr>
            <w:tcW w:w="1064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8A58B2" w:rsidRPr="00EB4702" w:rsidRDefault="008A58B2">
            <w:pPr>
              <w:rPr>
                <w:lang w:val="ru-RU"/>
              </w:rPr>
            </w:pPr>
          </w:p>
        </w:tc>
      </w:tr>
      <w:tr w:rsidR="008A58B2">
        <w:trPr>
          <w:trHeight w:hRule="exact" w:val="35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r>
              <w:t xml:space="preserve"> </w:t>
            </w:r>
          </w:p>
        </w:tc>
      </w:tr>
      <w:tr w:rsidR="008A58B2">
        <w:trPr>
          <w:trHeight w:hRule="exact" w:val="196"/>
        </w:trPr>
        <w:tc>
          <w:tcPr>
            <w:tcW w:w="3119" w:type="dxa"/>
          </w:tcPr>
          <w:p w:rsidR="008A58B2" w:rsidRDefault="008A58B2"/>
        </w:tc>
        <w:tc>
          <w:tcPr>
            <w:tcW w:w="7514" w:type="dxa"/>
          </w:tcPr>
          <w:p w:rsidR="008A58B2" w:rsidRDefault="008A58B2"/>
        </w:tc>
      </w:tr>
      <w:tr w:rsidR="008A58B2">
        <w:trPr>
          <w:trHeight w:hRule="exact" w:val="28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 литература:</w:t>
            </w:r>
          </w:p>
        </w:tc>
      </w:tr>
      <w:tr w:rsidR="008A58B2" w:rsidRPr="00EB4702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Pr="00EB470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Прорвич В. А. Введение в судебно-экономическую экспертизу. [Электронный ресурс]:учебное пособие. - Москва: ИНФРА-М, 2018. - 251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znanium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catalog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product</w:t>
            </w: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/1010179</w:t>
            </w:r>
          </w:p>
        </w:tc>
      </w:tr>
      <w:tr w:rsidR="008A58B2">
        <w:trPr>
          <w:trHeight w:hRule="exact" w:val="136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EB470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Прорвич В.А., Волынский А.Ф., Лящевский И. С., Семенова Е. А. Судебно-экономическая экспертиза в гражданском и арбитражном процессе.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[Электронный ресурс]:учебное пособие для студентов вузов, обучающихся по эк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ономическим специальностям и направлениям, и слушателей системы дополнительного профессионального образования. - Москва: ИНФРА-М, 2018. - 710 – Режим доступа: https://znanium.com/catalog/product/1012379</w:t>
            </w:r>
          </w:p>
        </w:tc>
      </w:tr>
      <w:tr w:rsidR="008A58B2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Аверьянова Т. В., Белкин Р. С., Корухов Ю. Г., 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ссинская Е. Р. Криминалистика. [Электронный ресурс]:учебник для студентов вузов, обучающихся по специальности «Юриспруденция». - Москва: Норма: ИНФРА-М, 2020. - 928 – Режим доступа: https://znanium.com/catalog/product/1045972</w:t>
            </w:r>
          </w:p>
        </w:tc>
      </w:tr>
      <w:tr w:rsidR="008A58B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Антропов А. В., Бахтеев Д.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В., Кабанов А. В. Криминалистическая экспертиза. [Электронный ресурс]:Учебное пособие для вузов. - Москва: Юрайт, 2020. - 179 – Режим доступа: https://urait.ru/bcode/454688</w:t>
            </w:r>
          </w:p>
        </w:tc>
      </w:tr>
      <w:tr w:rsidR="008A58B2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 литература:</w:t>
            </w:r>
          </w:p>
        </w:tc>
      </w:tr>
      <w:tr w:rsidR="008A58B2">
        <w:trPr>
          <w:trHeight w:hRule="exact" w:val="818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Россинская Е.Р. Судебная экспертиза в гражданском,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арбитражном, административном и уголовном процессе. [Электронный ресурс]:Учебник. - Москва: ООО "Юридическое издательство Норма", 2015. - 736 с. – Режим доступа: https://znanium.com/catalog/product/501090</w:t>
            </w:r>
          </w:p>
        </w:tc>
      </w:tr>
      <w:tr w:rsidR="008A58B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Аверьянова Т. В. Судебная экспертиза. Курс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общей теории. [Электронный ресурс]:для использования в учебном процессе по специальности "Судебная экспертиза" : [монография]. - Москва: Норма: ИНФРА-М, 2015. - 480 – Режим доступа: https://znanium.com/catalog/product/513735</w:t>
            </w:r>
          </w:p>
        </w:tc>
      </w:tr>
      <w:tr w:rsidR="008A58B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Котенева Т. В. Методологиче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ские основы судебно-экономической экспертизы. [Электронный ресурс]:Монография. - Москва: ИНФРА-М, 2018. - 212 – Режим доступа: https://znanium.com/catalog/product/966592</w:t>
            </w:r>
          </w:p>
        </w:tc>
      </w:tr>
      <w:tr w:rsidR="008A58B2">
        <w:trPr>
          <w:trHeight w:hRule="exact" w:val="109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Ашмарина Е. М., Артемов Н. М., Быля А. Б., Гизатуллин Ф. К., Иванова Е. С.,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Карташов А. В., Терехова Е. В., Чадин М. В., Шохин С. О. Правовое обеспечение контроля, учета, аудита и судебно-экономической экспертизы. [Электронный ресурс]:Учебник для вузов. - Москва: Юрайт, 2020. - 299 – Режим доступа: https://urait.ru/bcode/450431</w:t>
            </w:r>
          </w:p>
        </w:tc>
      </w:tr>
      <w:tr w:rsidR="008A58B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Дубоносов Е. С. Судебно-бухгалтерская экспертиза. [Электронный ресурс]:Учебник для вузов. - Москва: Юрайт, 2020. - 229 – Режим доступа: https://urait.ru/bcode/450150</w:t>
            </w:r>
          </w:p>
        </w:tc>
      </w:tr>
      <w:tr w:rsidR="008A58B2">
        <w:trPr>
          <w:trHeight w:hRule="exact" w:val="277"/>
        </w:trPr>
        <w:tc>
          <w:tcPr>
            <w:tcW w:w="3119" w:type="dxa"/>
          </w:tcPr>
          <w:p w:rsidR="008A58B2" w:rsidRDefault="008A58B2"/>
        </w:tc>
        <w:tc>
          <w:tcPr>
            <w:tcW w:w="7514" w:type="dxa"/>
          </w:tcPr>
          <w:p w:rsidR="008A58B2" w:rsidRDefault="008A58B2"/>
        </w:tc>
      </w:tr>
      <w:tr w:rsidR="008A58B2">
        <w:trPr>
          <w:trHeight w:hRule="exact" w:val="826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технологий,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включая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справочных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онлайн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курсов,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используемых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осуществлении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образовательного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процесса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дисциплине</w:t>
            </w:r>
            <w:r>
              <w:t xml:space="preserve"> </w:t>
            </w:r>
          </w:p>
        </w:tc>
      </w:tr>
      <w:tr w:rsidR="008A58B2">
        <w:trPr>
          <w:trHeight w:hRule="exact" w:val="42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 лицензионного программного обеспечения:</w:t>
            </w:r>
          </w:p>
        </w:tc>
      </w:tr>
      <w:tr w:rsidR="008A58B2">
        <w:trPr>
          <w:trHeight w:hRule="exact" w:val="277"/>
        </w:trPr>
        <w:tc>
          <w:tcPr>
            <w:tcW w:w="3119" w:type="dxa"/>
          </w:tcPr>
          <w:p w:rsidR="008A58B2" w:rsidRDefault="008A58B2"/>
        </w:tc>
        <w:tc>
          <w:tcPr>
            <w:tcW w:w="7514" w:type="dxa"/>
          </w:tcPr>
          <w:p w:rsidR="008A58B2" w:rsidRDefault="008A58B2"/>
        </w:tc>
      </w:tr>
      <w:tr w:rsidR="008A58B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A58B2">
        <w:trPr>
          <w:trHeight w:hRule="exact" w:val="555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МойОфис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стандартный.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СК-281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июня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заключения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срока.</w:t>
            </w:r>
            <w:r>
              <w:t xml:space="preserve"> </w:t>
            </w:r>
          </w:p>
        </w:tc>
      </w:tr>
      <w:tr w:rsidR="008A58B2">
        <w:trPr>
          <w:trHeight w:hRule="exact" w:val="694"/>
        </w:trPr>
        <w:tc>
          <w:tcPr>
            <w:tcW w:w="10788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Перечень информационных справочных систем, ресурсов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информационно- телекоммуникационной сети «Интернет»:</w:t>
            </w:r>
          </w:p>
        </w:tc>
      </w:tr>
    </w:tbl>
    <w:p w:rsidR="008A58B2" w:rsidRDefault="00EB47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8A58B2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163/223-У/2020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14.12.2020.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8A58B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8A58B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A58B2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8A58B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Справочно-правовая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Договор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58419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-без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r>
              <w:t xml:space="preserve"> </w:t>
            </w:r>
          </w:p>
          <w:p w:rsidR="008A58B2" w:rsidRDefault="00EB4702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8A58B2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8A58B2" w:rsidRDefault="00EB47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Аннотацию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подготовил: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Громова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Сергеевна</w:t>
            </w:r>
            <w:r>
              <w:t xml:space="preserve"> </w:t>
            </w:r>
          </w:p>
        </w:tc>
      </w:tr>
    </w:tbl>
    <w:p w:rsidR="008A58B2" w:rsidRDefault="008A58B2"/>
    <w:sectPr w:rsidR="008A58B2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453"/>
    <w:rsid w:val="0002418B"/>
    <w:rsid w:val="001F0BC7"/>
    <w:rsid w:val="008A58B2"/>
    <w:rsid w:val="00D31453"/>
    <w:rsid w:val="00E209E2"/>
    <w:rsid w:val="00EB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089CBE-5BB8-466E-8B5A-FDDE56998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764</Words>
  <Characters>4355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Worksheets</vt:lpstr>
      </vt:variant>
      <vt:variant>
        <vt:i4>2</vt:i4>
      </vt:variant>
    </vt:vector>
  </HeadingPairs>
  <TitlesOfParts>
    <vt:vector size="2" baseType="lpstr">
      <vt:lpstr>2021-2022_40_05_03_СЭ-ЭЭ-21_plx_Практика по получению профессиональных умений и опыта профессиональной деятельности</vt:lpstr>
      <vt:lpstr>Лист1</vt:lpstr>
    </vt:vector>
  </TitlesOfParts>
  <Company>УрГЭУ</Company>
  <LinksUpToDate>false</LinksUpToDate>
  <CharactersWithSpaces>5109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2021-2022_40_05_03_СЭ-ЭЭ-21_plx_Практика по получению профессиональных умений и опыта профессиональной деятельности</dc:title>
  <dc:creator>FastReport.NET</dc:creator>
  <cp:lastModifiedBy>Ивлиева Елена Анатольевна</cp:lastModifiedBy>
  <cp:revision>2</cp:revision>
  <dcterms:created xsi:type="dcterms:W3CDTF">2021-09-15T10:21:00Z</dcterms:created>
  <dcterms:modified xsi:type="dcterms:W3CDTF">2021-09-15T10:21:00Z</dcterms:modified>
</cp:coreProperties>
</file>