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225.645"/>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практики</w:t>
            </w:r>
          </w:p>
        </w:tc>
        <w:tc>
          <w:tcPr>
            <w:tcW w:w="426" w:type="dxa"/>
          </w:tcPr>
          <w:p/>
        </w:tc>
      </w:tr>
      <w:tr>
        <w:trPr>
          <w:trHeight w:hRule="exact" w:val="178.605"/>
        </w:trPr>
        <w:tc>
          <w:tcPr>
            <w:tcW w:w="3119" w:type="dxa"/>
          </w:tcPr>
          <w:p/>
        </w:tc>
        <w:tc>
          <w:tcPr>
            <w:tcW w:w="7089" w:type="dxa"/>
          </w:tcPr>
          <w:p/>
        </w:tc>
        <w:tc>
          <w:tcPr>
            <w:tcW w:w="426" w:type="dxa"/>
          </w:tcPr>
          <w:p/>
        </w:tc>
      </w:tr>
      <w:tr>
        <w:trPr>
          <w:trHeight w:hRule="exact" w:val="417.48"/>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региональной,</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Производственная</w:t>
            </w:r>
            <w:r>
              <w:rPr/>
              <w:t xml:space="preserve"> </w:t>
            </w:r>
          </w:p>
        </w:tc>
      </w:tr>
      <w:tr>
        <w:trPr>
          <w:trHeight w:hRule="exact" w:val="560.070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практика</w:t>
            </w:r>
            <w:r>
              <w:rPr/>
              <w:t xml:space="preserve"> </w:t>
            </w:r>
          </w:p>
        </w:tc>
      </w:tr>
      <w:tr>
        <w:trPr>
          <w:trHeight w:hRule="exact" w:val="555.66"/>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38.04.04</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местное</w:t>
            </w:r>
            <w:r>
              <w:rPr/>
              <w:t xml:space="preserve"> </w:t>
            </w:r>
            <w:r>
              <w:rPr>
                <w:rFonts w:ascii="Times New Roman" w:hAnsi="Times New Roman" w:cs="Times New Roman"/>
                <w:color w:val="#000000"/>
                <w:sz w:val="24"/>
                <w:szCs w:val="24"/>
              </w:rPr>
              <w:t>самоуправление</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r>
              <w:rPr>
                <w:rFonts w:ascii="Times New Roman" w:hAnsi="Times New Roman" w:cs="Times New Roman"/>
                <w:b/>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w:t>
            </w:r>
          </w:p>
        </w:tc>
      </w:tr>
      <w:tr>
        <w:trPr>
          <w:trHeight w:hRule="exact" w:val="420.2734"/>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Часть</w:t>
            </w:r>
            <w:r>
              <w:rPr/>
              <w:t xml:space="preserve"> </w:t>
            </w:r>
            <w:r>
              <w:rPr>
                <w:rFonts w:ascii="Times New Roman" w:hAnsi="Times New Roman" w:cs="Times New Roman"/>
                <w:b/>
                <w:color w:val="#000000"/>
                <w:sz w:val="24"/>
                <w:szCs w:val="24"/>
              </w:rPr>
              <w:t>ОПОП</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2.4</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вариативной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плана.</w:t>
            </w:r>
            <w:r>
              <w:rPr/>
              <w:t xml:space="preserve"> </w:t>
            </w:r>
          </w:p>
        </w:tc>
      </w:tr>
      <w:tr>
        <w:trPr>
          <w:trHeight w:hRule="exact" w:val="1389.1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r>
        <w:trPr>
          <w:trHeight w:hRule="exact" w:val="1677.27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p>
          <w:p>
            <w:pPr>
              <w:jc w:val="left"/>
              <w:spacing w:after="0" w:line="240" w:lineRule="auto"/>
              <w:rPr>
                <w:sz w:val="24"/>
                <w:szCs w:val="24"/>
              </w:rPr>
            </w:pP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дискретно</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практик</w:t>
            </w:r>
            <w:r>
              <w:rPr/>
              <w:t xml:space="preserve"> </w:t>
            </w:r>
          </w:p>
        </w:tc>
      </w:tr>
      <w:tr>
        <w:trPr>
          <w:trHeight w:hRule="exact" w:val="966.2307"/>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Целью</w:t>
            </w:r>
            <w:r>
              <w:rPr/>
              <w:t xml:space="preserve"> </w:t>
            </w:r>
            <w:r>
              <w:rPr>
                <w:rFonts w:ascii="Times New Roman" w:hAnsi="Times New Roman" w:cs="Times New Roman"/>
                <w:color w:val="#000000"/>
                <w:sz w:val="24"/>
                <w:szCs w:val="24"/>
              </w:rPr>
              <w:t>является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решениям</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p>
        </w:tc>
      </w:tr>
      <w:tr>
        <w:trPr>
          <w:trHeight w:hRule="exact" w:val="1805.89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совместного</w:t>
            </w:r>
            <w:r>
              <w:rPr/>
              <w:t xml:space="preserve"> </w:t>
            </w:r>
            <w:r>
              <w:rPr>
                <w:rFonts w:ascii="Times New Roman" w:hAnsi="Times New Roman" w:cs="Times New Roman"/>
                <w:b/>
                <w:color w:val="#000000"/>
                <w:sz w:val="24"/>
                <w:szCs w:val="24"/>
              </w:rPr>
              <w:t>рабочего</w:t>
            </w:r>
            <w:r>
              <w:rPr/>
              <w:t xml:space="preserve"> </w:t>
            </w:r>
            <w:r>
              <w:rPr>
                <w:rFonts w:ascii="Times New Roman" w:hAnsi="Times New Roman" w:cs="Times New Roman"/>
                <w:b/>
                <w:color w:val="#000000"/>
                <w:sz w:val="24"/>
                <w:szCs w:val="24"/>
              </w:rPr>
              <w:t>графики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индивидуального</w:t>
            </w:r>
            <w:r>
              <w:rPr/>
              <w:t xml:space="preserve"> </w:t>
            </w:r>
            <w:r>
              <w:rPr>
                <w:rFonts w:ascii="Times New Roman" w:hAnsi="Times New Roman" w:cs="Times New Roman"/>
                <w:b/>
                <w:color w:val="#000000"/>
                <w:sz w:val="24"/>
                <w:szCs w:val="24"/>
              </w:rPr>
              <w:t>задания. </w:t>
            </w:r>
            <w:r>
              <w:rPr/>
              <w:t xml:space="preserve"> </w:t>
            </w:r>
          </w:p>
          <w:p>
            <w:pPr>
              <w:jc w:val="left"/>
              <w:spacing w:after="0" w:line="240" w:lineRule="auto"/>
              <w:rPr>
                <w:sz w:val="24"/>
                <w:szCs w:val="24"/>
              </w:rPr>
            </w:pPr>
            <w:r>
              <w:rPr>
                <w:rFonts w:ascii="Times New Roman" w:hAnsi="Times New Roman" w:cs="Times New Roman"/>
                <w:b/>
                <w:color w:val="#000000"/>
                <w:sz w:val="24"/>
                <w:szCs w:val="24"/>
              </w:rPr>
              <w:t>Основные</w:t>
            </w:r>
            <w:r>
              <w:rPr/>
              <w:t xml:space="preserve"> </w:t>
            </w:r>
            <w:r>
              <w:rPr>
                <w:rFonts w:ascii="Times New Roman" w:hAnsi="Times New Roman" w:cs="Times New Roman"/>
                <w:b/>
                <w:color w:val="#000000"/>
                <w:sz w:val="24"/>
                <w:szCs w:val="24"/>
              </w:rPr>
              <w:t>мероприятия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оценочного</w:t>
            </w:r>
            <w:r>
              <w:rPr/>
              <w:t xml:space="preserve"> </w:t>
            </w:r>
            <w:r>
              <w:rPr>
                <w:rFonts w:ascii="Times New Roman" w:hAnsi="Times New Roman" w:cs="Times New Roman"/>
                <w:b/>
                <w:color w:val="#000000"/>
                <w:sz w:val="24"/>
                <w:szCs w:val="24"/>
              </w:rPr>
              <w:t>средства </w:t>
            </w:r>
            <w:r>
              <w:rPr/>
              <w:t xml:space="preserve"> </w:t>
            </w:r>
          </w:p>
          <w:p>
            <w:pPr>
              <w:jc w:val="left"/>
              <w:spacing w:after="0" w:line="240" w:lineRule="auto"/>
              <w:rPr>
                <w:sz w:val="24"/>
                <w:szCs w:val="24"/>
              </w:rPr>
            </w:pPr>
            <w:r>
              <w:rPr>
                <w:rFonts w:ascii="Times New Roman" w:hAnsi="Times New Roman" w:cs="Times New Roman"/>
                <w:b/>
                <w:color w:val="#000000"/>
                <w:sz w:val="24"/>
                <w:szCs w:val="24"/>
              </w:rPr>
              <w:t>(документ</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выполнению</w:t>
            </w:r>
            <w:r>
              <w:rPr/>
              <w:t xml:space="preserve"> </w:t>
            </w:r>
            <w:r>
              <w:rPr>
                <w:rFonts w:ascii="Times New Roman" w:hAnsi="Times New Roman" w:cs="Times New Roman"/>
                <w:b/>
                <w:color w:val="#000000"/>
                <w:sz w:val="24"/>
                <w:szCs w:val="24"/>
              </w:rPr>
              <w:t>мероприятия)</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руководителях</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ч.1</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Инструктажи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ч.2</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Краткая</w:t>
            </w:r>
            <w:r>
              <w:rPr/>
              <w:t xml:space="preserve"> </w:t>
            </w:r>
            <w:r>
              <w:rPr>
                <w:rFonts w:ascii="Times New Roman" w:hAnsi="Times New Roman" w:cs="Times New Roman"/>
                <w:color w:val="#000000"/>
                <w:sz w:val="24"/>
                <w:szCs w:val="24"/>
              </w:rPr>
              <w:t>характеристика</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ч.3</w:t>
            </w:r>
            <w:r>
              <w:rPr/>
              <w:t xml:space="preserve"> </w:t>
            </w:r>
          </w:p>
        </w:tc>
      </w:tr>
      <w:tr>
        <w:trPr>
          <w:trHeight w:hRule="exact" w:val="833.4902"/>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Описание</w:t>
            </w:r>
            <w:r>
              <w:rPr/>
              <w:t xml:space="preserve"> </w:t>
            </w:r>
            <w:r>
              <w:rPr>
                <w:rFonts w:ascii="Times New Roman" w:hAnsi="Times New Roman" w:cs="Times New Roman"/>
                <w:color w:val="#000000"/>
                <w:sz w:val="24"/>
                <w:szCs w:val="24"/>
              </w:rPr>
              <w:t>алгоритма</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инд.</w:t>
            </w:r>
            <w:r>
              <w:rPr/>
              <w:t xml:space="preserve"> </w:t>
            </w:r>
            <w:r>
              <w:rPr>
                <w:rFonts w:ascii="Times New Roman" w:hAnsi="Times New Roman" w:cs="Times New Roman"/>
                <w:color w:val="#000000"/>
                <w:sz w:val="24"/>
                <w:szCs w:val="24"/>
              </w:rPr>
              <w:t>задания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ч.4</w:t>
            </w:r>
            <w:r>
              <w:rPr/>
              <w:t xml:space="preserve"> </w:t>
            </w:r>
          </w:p>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справка </w:t>
            </w:r>
            <w:r>
              <w:rPr/>
              <w:t xml:space="preserve"> </w:t>
            </w:r>
          </w:p>
          <w:p>
            <w:pPr>
              <w:jc w:val="left"/>
              <w:spacing w:after="0" w:line="240" w:lineRule="auto"/>
              <w:rPr>
                <w:sz w:val="24"/>
                <w:szCs w:val="24"/>
              </w:rPr>
            </w:pP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кейса</w:t>
            </w:r>
            <w:r>
              <w:rPr/>
              <w:t xml:space="preserve"> </w:t>
            </w:r>
          </w:p>
        </w:tc>
      </w:tr>
      <w:tr>
        <w:trPr>
          <w:trHeight w:hRule="exact" w:val="1111.321"/>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Документы,</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обучающийся</w:t>
            </w:r>
            <w:r>
              <w:rPr/>
              <w:t xml:space="preserve"> </w:t>
            </w:r>
            <w:r>
              <w:rPr>
                <w:rFonts w:ascii="Times New Roman" w:hAnsi="Times New Roman" w:cs="Times New Roman"/>
                <w:color w:val="#000000"/>
                <w:sz w:val="24"/>
                <w:szCs w:val="24"/>
              </w:rPr>
              <w:t>представляет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окончании</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Совместный</w:t>
            </w:r>
            <w:r>
              <w:rPr/>
              <w:t xml:space="preserve"> </w:t>
            </w:r>
            <w:r>
              <w:rPr>
                <w:rFonts w:ascii="Times New Roman" w:hAnsi="Times New Roman" w:cs="Times New Roman"/>
                <w:color w:val="#000000"/>
                <w:sz w:val="24"/>
                <w:szCs w:val="24"/>
              </w:rPr>
              <w:t>рабочий</w:t>
            </w:r>
            <w:r>
              <w:rPr/>
              <w:t xml:space="preserve"> </w:t>
            </w:r>
            <w:r>
              <w:rPr>
                <w:rFonts w:ascii="Times New Roman" w:hAnsi="Times New Roman" w:cs="Times New Roman"/>
                <w:color w:val="#000000"/>
                <w:sz w:val="24"/>
                <w:szCs w:val="24"/>
              </w:rPr>
              <w:t>график</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Индивидуальное</w:t>
            </w:r>
            <w:r>
              <w:rPr/>
              <w:t xml:space="preserve"> </w:t>
            </w:r>
            <w:r>
              <w:rPr>
                <w:rFonts w:ascii="Times New Roman" w:hAnsi="Times New Roman" w:cs="Times New Roman"/>
                <w:color w:val="#000000"/>
                <w:sz w:val="24"/>
                <w:szCs w:val="24"/>
              </w:rPr>
              <w:t>задание</w:t>
            </w:r>
            <w:r>
              <w:rPr/>
              <w:t xml:space="preserve"> </w:t>
            </w:r>
          </w:p>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совместного</w:t>
            </w:r>
            <w:r>
              <w:rPr/>
              <w:t xml:space="preserve"> </w:t>
            </w:r>
            <w:r>
              <w:rPr>
                <w:rFonts w:ascii="Times New Roman" w:hAnsi="Times New Roman" w:cs="Times New Roman"/>
                <w:color w:val="#000000"/>
                <w:sz w:val="24"/>
                <w:szCs w:val="24"/>
              </w:rPr>
              <w:t>рабочего</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и</w:t>
            </w:r>
            <w:r>
              <w:rPr/>
              <w:t xml:space="preserve"> </w:t>
            </w:r>
          </w:p>
          <w:p>
            <w:pPr>
              <w:jc w:val="left"/>
              <w:spacing w:after="0" w:line="240" w:lineRule="auto"/>
              <w:rPr>
                <w:sz w:val="24"/>
                <w:szCs w:val="24"/>
              </w:rPr>
            </w:pP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задания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513"/>
      </w:tblGrid>
      <w:tr>
        <w:trPr>
          <w:trHeight w:hRule="exact" w:val="1111.3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не</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применение</w:t>
            </w:r>
            <w:r>
              <w:rPr/>
              <w:t xml:space="preserve"> </w:t>
            </w:r>
            <w:r>
              <w:rPr>
                <w:rFonts w:ascii="Times New Roman" w:hAnsi="Times New Roman" w:cs="Times New Roman"/>
                <w:b/>
                <w:color w:val="#000000"/>
                <w:sz w:val="24"/>
                <w:szCs w:val="24"/>
              </w:rPr>
              <w:t>ДОТ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Применяются</w:t>
            </w:r>
            <w:r>
              <w:rPr/>
              <w:t xml:space="preserve"> </w:t>
            </w:r>
            <w:r>
              <w:rPr>
                <w:rFonts w:ascii="Times New Roman" w:hAnsi="Times New Roman" w:cs="Times New Roman"/>
                <w:color w:val="#000000"/>
                <w:sz w:val="24"/>
                <w:szCs w:val="24"/>
              </w:rPr>
              <w:t>ДОТ </w:t>
            </w:r>
            <w:r>
              <w:rPr/>
              <w:t xml:space="preserve"> </w:t>
            </w:r>
          </w:p>
          <w:p>
            <w:pPr>
              <w:jc w:val="left"/>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ДОТ</w:t>
            </w:r>
            <w:r>
              <w:rPr/>
              <w:t xml:space="preserve"> </w:t>
            </w:r>
            <w:r>
              <w:rPr>
                <w:rFonts w:ascii="Times New Roman" w:hAnsi="Times New Roman" w:cs="Times New Roman"/>
                <w:color w:val="#000000"/>
                <w:sz w:val="24"/>
                <w:szCs w:val="24"/>
              </w:rPr>
              <w:t>указан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индивидуальном</w:t>
            </w:r>
            <w:r>
              <w:rPr/>
              <w:t xml:space="preserve"> </w:t>
            </w:r>
            <w:r>
              <w:rPr>
                <w:rFonts w:ascii="Times New Roman" w:hAnsi="Times New Roman" w:cs="Times New Roman"/>
                <w:color w:val="#000000"/>
                <w:sz w:val="24"/>
                <w:szCs w:val="24"/>
              </w:rPr>
              <w:t>задании)</w:t>
            </w:r>
            <w:r>
              <w:rPr/>
              <w:t xml:space="preserve"> </w:t>
            </w:r>
          </w:p>
        </w:tc>
      </w:tr>
      <w:tr>
        <w:trPr>
          <w:trHeight w:hRule="exact" w:val="768.075"/>
        </w:trPr>
        <w:tc>
          <w:tcPr>
            <w:tcW w:w="3119" w:type="dxa"/>
          </w:tcPr>
          <w:p/>
        </w:tc>
        <w:tc>
          <w:tcPr>
            <w:tcW w:w="7514" w:type="dxa"/>
          </w:tcPr>
          <w:p/>
        </w:tc>
      </w:tr>
      <w:tr>
        <w:trPr>
          <w:trHeight w:hRule="exact" w:val="285.18"/>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9"/>
        </w:trPr>
        <w:tc>
          <w:tcPr>
            <w:tcW w:w="3119" w:type="dxa"/>
          </w:tcPr>
          <w:p/>
        </w:tc>
        <w:tc>
          <w:tcPr>
            <w:tcW w:w="7514" w:type="dxa"/>
          </w:tcPr>
          <w:p/>
        </w:tc>
      </w:tr>
      <w:tr>
        <w:trPr>
          <w:trHeight w:hRule="exact" w:val="285.179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359.60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Алексеев И. А., Адамоков Б. Б., Бабаян Р. А., Белявский Д. С., Трофимов М. С. Муниципальное управление и местное самоуправление. [Электронный ресурс]:учебник для студентов вузов, обучающихся по направлениям подготовки 38.04.04 "Государственное и муниципальное управление", 40.04.01 "Юриспруденция" (квалификация (степень) "магистр"). - Москва: ИНФРА-М, 2020. - 353 – Режим доступа: https://znanium.com/catalog/product/1044680</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Чиркин В.Е. Система государственного и муниципального управления [Электронный ресурс]:Учебник. - Москва: ООО "Юридическое издательство Норма", 2020. - 400 – Режим доступа: https://znanium.com/catalog/product/1067785</w:t>
            </w:r>
          </w:p>
        </w:tc>
      </w:tr>
      <w:tr>
        <w:trPr>
          <w:trHeight w:hRule="exact" w:val="1366.95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Меньшикова Г. А., Борисов А. Ф., Васильева Е. А., Волчкова Л. Т., Денисова Ю. В., Малышев В. А., Меркурьева Ю. В., Миронова А. А., Рассказов С. В., Рубцова М. В., Санжимитупова Т. А. Основы государственного и муниципального управления (Public Administration). [Электронный ресурс]:Учебник и практикум для вузов. - Москва: Юрайт, 2020. - 340 – Режим доступа: https://urait.ru/bcode/450610</w:t>
            </w:r>
          </w:p>
        </w:tc>
      </w:tr>
      <w:tr>
        <w:trPr>
          <w:trHeight w:hRule="exact" w:val="826.1406"/>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Васильев В. П., Деханова Н. Г., Лось Н. А., Холоденко Ю. А. Государственное и муниципальное управление. [Электронный ресурс]:Учебник и практикум для вузов. - Москва: Юрайт, 2020. - 325 – Режим доступа: https://urait.ru/bcode/455331</w:t>
            </w:r>
          </w:p>
        </w:tc>
      </w:tr>
      <w:tr>
        <w:trPr>
          <w:trHeight w:hRule="exact" w:val="424.0946"/>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Теория и механизмы современного государственного управления. Учебник и практикум для бакалавриата и магистратуры: для студентов вузов, обучающихся по гуманитарным направлениям: [в 2 частях]. Ч. 2. [Электронный ресурс]:. - Москва: Юрайт, 2019. - 299 – Режим доступа: https://urait.ru/bcode/434314</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Теория и механизмы современного государственного управления. Учебник и практикум для бакалавриата и магистратуры: для студентов вузов, обучающихся по гуманитарным направлениям: [в 2 частях]. Ч. 1. [Электронный ресурс]:. - Москва: Юрайт, 2019. - 367 – Режим доступа: https://urait.ru/bcode/434313</w:t>
            </w:r>
          </w:p>
        </w:tc>
      </w:tr>
      <w:tr>
        <w:trPr>
          <w:trHeight w:hRule="exact" w:val="1096.474"/>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Гимазова Ю. В. Государственное и муниципальное управление. [Электронный ресурс]:учебник для академического бакалавриата: для студентов вузов, обучающихся по экономическим направлениям и специальностям. - Москва: Юрайт, 2019. - 453 – Режим доступа: https://urait.ru/bcode/432066</w:t>
            </w:r>
          </w:p>
        </w:tc>
      </w:tr>
      <w:tr>
        <w:trPr>
          <w:trHeight w:hRule="exact" w:val="1366.95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Кожевников С.А., Копытова Е.Д. Эффективность государственного управления: проблемы и методы повышения [Электронный ресурс]:Монография. - Вологда: ФЕДЕРАЛЬНОЕ ГОСУДАРСТВЕННОЕ БЮДЖЕТНОЕ УЧРЕЖДЕНИЕ НАУКИ«ВОЛОГОДСКИЙ НАУЧНЫЙ ЦЕНТР РОССИЙСКОЙ АКАДЕМИИ НАУК», 2018. - 208 – Режим доступа: https://znanium.com/catalog/product/1019447</w:t>
            </w:r>
          </w:p>
        </w:tc>
      </w:tr>
      <w:tr>
        <w:trPr>
          <w:trHeight w:hRule="exact" w:val="277.8304"/>
        </w:trPr>
        <w:tc>
          <w:tcPr>
            <w:tcW w:w="3119" w:type="dxa"/>
          </w:tcPr>
          <w:p/>
        </w:tc>
        <w:tc>
          <w:tcPr>
            <w:tcW w:w="7514" w:type="dxa"/>
          </w:tcPr>
          <w:p/>
        </w:tc>
      </w:tr>
      <w:tr>
        <w:trPr>
          <w:trHeight w:hRule="exact" w:val="826.1402"/>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3119" w:type="dxa"/>
          </w:tcPr>
          <w:p/>
        </w:tc>
        <w:tc>
          <w:tcPr>
            <w:tcW w:w="7514" w:type="dxa"/>
          </w:tcP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8"/>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Н.В.</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2022-2023_z38_04_04_ЗМ-ГУиМС-22_plx_Аналитическая практика</dc:title>
  <dc:creator>FastReport.NET</dc:creator>
</cp:coreProperties>
</file>