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Судебно-бухгалтерская</w:t>
            </w:r>
            <w:r>
              <w:rPr/>
              <w:t xml:space="preserve"> </w:t>
            </w:r>
            <w:r>
              <w:rPr>
                <w:rFonts w:ascii="Times New Roman" w:hAnsi="Times New Roman" w:cs="Times New Roman"/>
                <w:color w:val="#000000"/>
                <w:sz w:val="24"/>
                <w:szCs w:val="24"/>
              </w:rPr>
              <w:t>экспертиза</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Учетно-аналитические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цифровой</w:t>
            </w:r>
            <w:r>
              <w:rPr/>
              <w:t xml:space="preserve"> </w:t>
            </w:r>
            <w:r>
              <w:rPr>
                <w:rFonts w:ascii="Times New Roman" w:hAnsi="Times New Roman" w:cs="Times New Roman"/>
                <w:color w:val="#000000"/>
                <w:sz w:val="24"/>
                <w:szCs w:val="24"/>
              </w:rPr>
              <w:t>экономике</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бухгалтерского</w:t>
            </w:r>
            <w:r>
              <w:rPr/>
              <w:t xml:space="preserve"> </w:t>
            </w:r>
            <w:r>
              <w:rPr>
                <w:rFonts w:ascii="Times New Roman" w:hAnsi="Times New Roman" w:cs="Times New Roman"/>
                <w:color w:val="#000000"/>
                <w:sz w:val="24"/>
                <w:szCs w:val="24"/>
              </w:rPr>
              <w:t>учета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аудита</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судебно- бухгалтерской экспертизы, значение и задачи.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структура судебной экспертизы.</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организация бухгалтерского учета</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проведения проверок и ревизий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проверки и исследования документальных записей по учету хозяйственных операций</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с товарно-материальными ценностями в отдельных отраслях</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по учету производства, реализации себестоимости продукции (товаров. работ, услуг)</w:t>
            </w:r>
          </w:p>
        </w:tc>
      </w:tr>
      <w:tr>
        <w:trPr>
          <w:trHeight w:hRule="exact" w:val="585.0607"/>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Экспертное исследование операций по учету доходов, расходов и формированию финансовых результатов</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9.</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Судебная бухгалтерская экспертиза, права и обязанности эксперта- бухгалтера</w:t>
            </w:r>
          </w:p>
        </w:tc>
      </w:tr>
      <w:tr>
        <w:trPr>
          <w:trHeight w:hRule="exact" w:val="184.6311"/>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Дубоносов Е. С. Судебная бухгалтерия. [Электронный ресурс]:Учебник и практикум для вузов. - Москва: Юрайт, 2020. - 332 – Режим доступа: https://urait.ru/bcode/449682</w:t>
            </w:r>
          </w:p>
        </w:tc>
      </w:tr>
      <w:tr>
        <w:trPr>
          <w:trHeight w:hRule="exact" w:val="555.6598"/>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Дубоносов Е. С. Судебно-бухгалтерская экспертиза. [Электронный ресурс]:Учебник для вузов. - Москва: Юрайт, 2020. - 229 – Режим доступа: https://urait.ru/bcode/450150</w:t>
            </w:r>
          </w:p>
        </w:tc>
      </w:tr>
      <w:tr>
        <w:trPr>
          <w:trHeight w:hRule="exact" w:val="555.6607"/>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Дубоносов Е. С. Судебная бухгалтерия. [Электронный ресурс]:Учебное пособие для вузов. - Москва: Юрайт, 2020. - 157 – Режим доступа: https://urait.ru/bcode/449774</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Попаденко Е. В. Судебная бухгалтерия. [Электронный ресурс]:Учебник и практикум для вузов. - Москва: Юрайт, 2020. - 180 – Режим доступа: https://urait.ru/bcode/452710</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Ашмарина Е. М., Артемов Н. М., Быля А. Б., Гизатуллин Ф. К., Иванова Е. С., Карташов А. В., Терехова Е. В., Чадин М. В., Шохин С. О. Правовое обеспечение контроля, учета, аудита и судебно-экономической экспертизы. [Электронный ресурс]:Учебник для вузов. - Москва: Юрайт, 2020. - 299 – Режим доступа: https://urait.ru/bcode/450431</w:t>
            </w:r>
          </w:p>
        </w:tc>
      </w:tr>
      <w:tr>
        <w:trPr>
          <w:trHeight w:hRule="exact" w:val="277.8312"/>
        </w:trPr>
        <w:tc>
          <w:tcPr>
            <w:tcW w:w="1521" w:type="dxa"/>
          </w:tcPr>
          <w:p/>
        </w:tc>
        <w:tc>
          <w:tcPr>
            <w:tcW w:w="1600" w:type="dxa"/>
          </w:tcPr>
          <w:p/>
        </w:tc>
        <w:tc>
          <w:tcPr>
            <w:tcW w:w="7089" w:type="dxa"/>
          </w:tcPr>
          <w:p/>
        </w:tc>
        <w:tc>
          <w:tcPr>
            <w:tcW w:w="426" w:type="dxa"/>
          </w:tcPr>
          <w:p/>
        </w:tc>
      </w:tr>
      <w:tr>
        <w:trPr>
          <w:trHeight w:hRule="exact" w:val="791.448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 </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85.18"/>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583.0021"/>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799"/>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ГАРАНТ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Бухгалтерская</w:t>
            </w:r>
            <w:r>
              <w:rPr/>
              <w:t xml:space="preserve"> </w:t>
            </w: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Главбух</w:t>
            </w:r>
            <w:r>
              <w:rPr/>
              <w:t xml:space="preserve"> </w:t>
            </w:r>
            <w:r>
              <w:rPr>
                <w:rFonts w:ascii="Times New Roman" w:hAnsi="Times New Roman" w:cs="Times New Roman"/>
                <w:b/>
                <w:color w:val="#000000"/>
                <w:sz w:val="24"/>
                <w:szCs w:val="24"/>
              </w:rPr>
              <w:t>www.1gl.ru	</w:t>
            </w:r>
            <w:r>
              <w:rPr/>
              <w:t xml:space="preserve"> </w:t>
            </w:r>
          </w:p>
          <w:p>
            <w:pPr>
              <w:jc w:val="both"/>
              <w:ind w:firstLine="756"/>
              <w:spacing w:after="0" w:line="240" w:lineRule="auto"/>
              <w:rPr>
                <w:sz w:val="24"/>
                <w:szCs w:val="24"/>
              </w:rPr>
            </w:pPr>
            <w:r>
              <w:rPr>
                <w:rFonts w:ascii="Times New Roman" w:hAnsi="Times New Roman" w:cs="Times New Roman"/>
                <w:b/>
                <w:color w:val="#000000"/>
                <w:sz w:val="24"/>
                <w:szCs w:val="24"/>
              </w:rPr>
              <w:t>Справочная</w:t>
            </w:r>
            <w:r>
              <w:rPr/>
              <w:t xml:space="preserve"> </w:t>
            </w:r>
            <w:r>
              <w:rPr>
                <w:rFonts w:ascii="Times New Roman" w:hAnsi="Times New Roman" w:cs="Times New Roman"/>
                <w:b/>
                <w:color w:val="#000000"/>
                <w:sz w:val="24"/>
                <w:szCs w:val="24"/>
              </w:rPr>
              <w:t>правовая</w:t>
            </w:r>
            <w:r>
              <w:rPr/>
              <w:t xml:space="preserve"> </w:t>
            </w:r>
            <w:r>
              <w:rPr>
                <w:rFonts w:ascii="Times New Roman" w:hAnsi="Times New Roman" w:cs="Times New Roman"/>
                <w:b/>
                <w:color w:val="#000000"/>
                <w:sz w:val="24"/>
                <w:szCs w:val="24"/>
              </w:rPr>
              <w:t>система</w:t>
            </w:r>
            <w:r>
              <w:rPr/>
              <w:t xml:space="preserve"> </w:t>
            </w:r>
            <w:r>
              <w:rPr>
                <w:rFonts w:ascii="Times New Roman" w:hAnsi="Times New Roman" w:cs="Times New Roman"/>
                <w:b/>
                <w:color w:val="#000000"/>
                <w:sz w:val="24"/>
                <w:szCs w:val="24"/>
              </w:rPr>
              <w:t>Консультант</w:t>
            </w:r>
            <w:r>
              <w:rPr/>
              <w:t xml:space="preserve"> </w:t>
            </w:r>
            <w:r>
              <w:rPr>
                <w:rFonts w:ascii="Times New Roman" w:hAnsi="Times New Roman" w:cs="Times New Roman"/>
                <w:b/>
                <w:color w:val="#000000"/>
                <w:sz w:val="24"/>
                <w:szCs w:val="24"/>
              </w:rPr>
              <w:t>плюс</w:t>
            </w:r>
            <w:r>
              <w:rPr/>
              <w:t xml:space="preserve"> </w:t>
            </w:r>
            <w:r>
              <w:rPr>
                <w:rFonts w:ascii="Times New Roman" w:hAnsi="Times New Roman" w:cs="Times New Roman"/>
                <w:b/>
                <w:color w:val="#000000"/>
                <w:sz w:val="24"/>
                <w:szCs w:val="24"/>
              </w:rPr>
              <w:t>http://www.consultant.ru/</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Виолета</w:t>
            </w:r>
            <w:r>
              <w:rPr/>
              <w:t xml:space="preserve"> </w:t>
            </w:r>
            <w:r>
              <w:rPr>
                <w:rFonts w:ascii="Times New Roman" w:hAnsi="Times New Roman" w:cs="Times New Roman"/>
                <w:color w:val="#000000"/>
                <w:sz w:val="24"/>
                <w:szCs w:val="24"/>
              </w:rPr>
              <w:t>Стасио</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2021-2022_38_03_01-УАТвЦЭ-2021_очное_plx_Судебно-бухгалтерская экспертиза</dc:title>
  <dc:creator>FastReport.NET</dc:creator>
</cp:coreProperties>
</file>