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C469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67"/>
        </w:trPr>
        <w:tc>
          <w:tcPr>
            <w:tcW w:w="1521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217"/>
        </w:trPr>
        <w:tc>
          <w:tcPr>
            <w:tcW w:w="1521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 w:rsidRPr="001F3BBD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F3BB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 w:rsidP="001F3BBD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25"/>
        </w:trPr>
        <w:tc>
          <w:tcPr>
            <w:tcW w:w="1521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4699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C469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C469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C469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4699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 w:rsidRPr="001F3B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регулирования оценочной деятельности в России 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(ОПК-7)</w:t>
            </w: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стандартизации различных видов оценки в РФ ( ОПК-7)</w:t>
            </w: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Оценочная экспертиза в системе экономических экспертиз ( ОПК-7, ПК-2, ПК-4, ПК-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6, ПК-8)</w:t>
            </w: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знания экспертов-оценщиков и их применение в процессе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оценочной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различных объектов оценки ( ОПК-7, ПК-6)</w:t>
            </w: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оценки недвижимого имущества и экспертиза отчета ( ОПК-8)</w:t>
            </w: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методического обеспечения судебно-оценочных экспертиз ( ОПК-7, ПК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-2, ПК-4, ПК-6, ПК-8)</w:t>
            </w: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188"/>
        </w:trPr>
        <w:tc>
          <w:tcPr>
            <w:tcW w:w="1521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Default="001F3B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4699C">
        <w:trPr>
          <w:trHeight w:hRule="exact" w:val="201"/>
        </w:trPr>
        <w:tc>
          <w:tcPr>
            <w:tcW w:w="1521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4699C" w:rsidRPr="001F3BB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Майлис Н.П. Теория и практика судебной экспертизы в доказывании. Спецкурс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</w:t>
            </w:r>
            <w:proofErr w:type="gramStart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2019. - 255 с – Режим доступа:</w:t>
            </w:r>
            <w:r w:rsidRPr="001F3BB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/1028788</w:t>
            </w:r>
          </w:p>
        </w:tc>
      </w:tr>
      <w:tr w:rsidR="00C4699C" w:rsidRPr="001F3BB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Косорукова И.В., под ред., Косорукова О.Д., Мирзоян Н.В., Плясова С.В., Суханова И.Г.,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Труфанова С.А., Ивлиева Н.Н. Оценочная деятельность [Электронный ресурс]:учебник. - Москва: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КноРус, 2021. - 333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/939833</w:t>
            </w:r>
          </w:p>
        </w:tc>
      </w:tr>
      <w:tr w:rsidR="00C4699C" w:rsidRPr="001F3BB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Котенева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 Методологические основы судебно-экономической экспертизы [Электронный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2022. - 219 – Режим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  <w:tr w:rsidR="00C4699C" w:rsidRPr="001F3BBD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Россинская Е.Р. Судебная эксперти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 в гражданском, арбитражном, административном и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 процессе [Электронный ресурс]:монография : монография. - Москва: ООО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- 576 – Режим доступа:</w:t>
            </w:r>
            <w:r w:rsidRPr="001F3BB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/1902909</w:t>
            </w:r>
          </w:p>
        </w:tc>
      </w:tr>
      <w:tr w:rsidR="00C4699C" w:rsidRPr="001F3BB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Федотова М. А., п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 ред., Бакулина А. А., Волович Н. В., Грибовский С. В., Перевозчиков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Ю., Тазихина Т. В. Оценка недвижимости [Электронный ресурс]:учебник. - Москва: КноРус,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2024. - 368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/950451</w:t>
            </w:r>
          </w:p>
        </w:tc>
      </w:tr>
      <w:tr w:rsidR="00C4699C" w:rsidRPr="001F3BBD">
        <w:trPr>
          <w:trHeight w:hRule="exact" w:val="142"/>
        </w:trPr>
        <w:tc>
          <w:tcPr>
            <w:tcW w:w="1521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4699C" w:rsidRPr="001F3BB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Касьяненко Т.Г. Оценка недвижимости [Электронный ресурс</w:t>
            </w:r>
            <w:proofErr w:type="gramStart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</w:t>
            </w:r>
            <w:proofErr w:type="gramStart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324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/947570</w:t>
            </w:r>
          </w:p>
        </w:tc>
      </w:tr>
      <w:tr w:rsidR="00C4699C" w:rsidRPr="001F3BBD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Уголовный Кодекс Российской Федерации [Электронный ресурс</w:t>
            </w:r>
            <w:proofErr w:type="gramStart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- 373 с – Режим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/2126895</w:t>
            </w:r>
          </w:p>
        </w:tc>
      </w:tr>
    </w:tbl>
    <w:p w:rsidR="00C4699C" w:rsidRPr="001F3BBD" w:rsidRDefault="001F3BBD">
      <w:pPr>
        <w:rPr>
          <w:sz w:val="0"/>
          <w:szCs w:val="0"/>
          <w:lang w:val="ru-RU"/>
        </w:rPr>
      </w:pPr>
      <w:r w:rsidRPr="001F3BBD">
        <w:rPr>
          <w:lang w:val="ru-RU"/>
        </w:rPr>
        <w:br w:type="page"/>
      </w:r>
    </w:p>
    <w:p w:rsidR="00C4699C" w:rsidRPr="001F3BBD" w:rsidRDefault="00C4699C">
      <w:pPr>
        <w:rPr>
          <w:lang w:val="ru-RU"/>
        </w:rPr>
        <w:sectPr w:rsidR="00C4699C" w:rsidRPr="001F3BB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4699C" w:rsidRPr="001F3BB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F3BBD">
              <w:rPr>
                <w:lang w:val="ru-RU"/>
              </w:rPr>
              <w:t xml:space="preserve"> </w:t>
            </w:r>
          </w:p>
        </w:tc>
      </w:tr>
      <w:tr w:rsidR="00C4699C" w:rsidRPr="001F3BBD">
        <w:trPr>
          <w:trHeight w:hRule="exact" w:val="142"/>
        </w:trPr>
        <w:tc>
          <w:tcPr>
            <w:tcW w:w="10774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4699C">
        <w:trPr>
          <w:trHeight w:hRule="exact" w:val="284"/>
        </w:trPr>
        <w:tc>
          <w:tcPr>
            <w:tcW w:w="10774" w:type="dxa"/>
          </w:tcPr>
          <w:p w:rsidR="00C4699C" w:rsidRDefault="00C469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469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F3B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F3B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F3B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F3B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4699C" w:rsidRPr="001F3B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F3BBD">
              <w:rPr>
                <w:lang w:val="ru-RU"/>
              </w:rPr>
              <w:t xml:space="preserve"> </w:t>
            </w:r>
          </w:p>
        </w:tc>
      </w:tr>
      <w:tr w:rsidR="00C469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F3B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3B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F3B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4699C" w:rsidRPr="001F3B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F3B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3B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F3BBD">
              <w:rPr>
                <w:lang w:val="ru-RU"/>
              </w:rPr>
              <w:t xml:space="preserve"> </w:t>
            </w:r>
          </w:p>
        </w:tc>
      </w:tr>
      <w:tr w:rsidR="00C4699C" w:rsidRPr="001F3BBD">
        <w:trPr>
          <w:trHeight w:hRule="exact" w:val="142"/>
        </w:trPr>
        <w:tc>
          <w:tcPr>
            <w:tcW w:w="10774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F3BBD">
              <w:rPr>
                <w:lang w:val="ru-RU"/>
              </w:rPr>
              <w:br/>
            </w:r>
            <w:r w:rsidRPr="001F3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469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F3B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4699C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4699C" w:rsidRPr="001F3BB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F3BBD">
              <w:rPr>
                <w:lang w:val="ru-RU"/>
              </w:rPr>
              <w:t xml:space="preserve"> </w:t>
            </w:r>
          </w:p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lang w:val="ru-RU"/>
              </w:rPr>
              <w:t xml:space="preserve"> </w:t>
            </w:r>
          </w:p>
          <w:p w:rsidR="00C4699C" w:rsidRPr="001F3BBD" w:rsidRDefault="001F3B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3BBD">
              <w:rPr>
                <w:lang w:val="ru-RU"/>
              </w:rPr>
              <w:t xml:space="preserve"> </w:t>
            </w:r>
          </w:p>
        </w:tc>
      </w:tr>
      <w:tr w:rsidR="00C4699C" w:rsidRPr="001F3BBD">
        <w:trPr>
          <w:trHeight w:hRule="exact" w:val="142"/>
        </w:trPr>
        <w:tc>
          <w:tcPr>
            <w:tcW w:w="10774" w:type="dxa"/>
          </w:tcPr>
          <w:p w:rsidR="00C4699C" w:rsidRPr="001F3BBD" w:rsidRDefault="00C469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4699C" w:rsidRPr="001F3BB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4699C" w:rsidRPr="001F3BBD" w:rsidRDefault="001F3B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Ялунина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F3BBD">
              <w:rPr>
                <w:lang w:val="ru-RU"/>
              </w:rPr>
              <w:t xml:space="preserve"> </w:t>
            </w:r>
            <w:r w:rsidRPr="001F3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F3BBD">
              <w:rPr>
                <w:lang w:val="ru-RU"/>
              </w:rPr>
              <w:t xml:space="preserve"> </w:t>
            </w:r>
          </w:p>
        </w:tc>
      </w:tr>
    </w:tbl>
    <w:p w:rsidR="00C4699C" w:rsidRDefault="001F3BBD">
      <w:r>
        <w:rPr>
          <w:color w:val="FFFFFF"/>
          <w:sz w:val="2"/>
          <w:szCs w:val="2"/>
        </w:rPr>
        <w:t>.</w:t>
      </w:r>
    </w:p>
    <w:sectPr w:rsidR="00C4699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1F3BBD"/>
    <w:rsid w:val="00C469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DC6720"/>
  <w15:docId w15:val="{FD6FF265-BB34-488A-A450-9416547BE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>УрГЭУ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оценочная экспертиза</dc:title>
  <dc:creator>FastReport.NET</dc:creator>
  <cp:lastModifiedBy>Овсянникова Анастасия Геннадьевна</cp:lastModifiedBy>
  <cp:revision>2</cp:revision>
  <dcterms:created xsi:type="dcterms:W3CDTF">2024-01-29T08:05:00Z</dcterms:created>
  <dcterms:modified xsi:type="dcterms:W3CDTF">2024-01-29T08:06:00Z</dcterms:modified>
</cp:coreProperties>
</file>